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val="0"/>
        <w:autoSpaceDN w:val="0"/>
        <w:bidi w:val="0"/>
        <w:adjustRightInd w:val="0"/>
        <w:snapToGrid/>
        <w:spacing w:before="0" w:after="0" w:line="579"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海南医科大学第二附属医院</w:t>
      </w:r>
    </w:p>
    <w:p>
      <w:pPr>
        <w:pStyle w:val="2"/>
        <w:keepNext/>
        <w:keepLines/>
        <w:pageBreakBefore w:val="0"/>
        <w:widowControl w:val="0"/>
        <w:kinsoku/>
        <w:wordWrap/>
        <w:overflowPunct/>
        <w:topLinePunct w:val="0"/>
        <w:autoSpaceDE w:val="0"/>
        <w:autoSpaceDN w:val="0"/>
        <w:bidi w:val="0"/>
        <w:adjustRightInd w:val="0"/>
        <w:snapToGrid/>
        <w:spacing w:before="0" w:after="0" w:line="579"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信息化办公设备零星维修入库项目需求书</w:t>
      </w:r>
    </w:p>
    <w:p>
      <w:pPr>
        <w:pageBreakBefore w:val="0"/>
        <w:kinsoku/>
        <w:wordWrap/>
        <w:overflowPunct/>
        <w:topLinePunct w:val="0"/>
        <w:bidi w:val="0"/>
        <w:spacing w:line="240" w:lineRule="auto"/>
        <w:ind w:firstLine="632" w:firstLineChars="200"/>
        <w:jc w:val="center"/>
        <w:outlineLvl w:val="1"/>
        <w:rPr>
          <w:rFonts w:hint="eastAsia" w:ascii="仿宋_GB2312" w:hAnsi="仿宋_GB2312" w:eastAsia="仿宋_GB2312" w:cs="仿宋_GB2312"/>
          <w:b w:val="0"/>
          <w:bCs w:val="0"/>
          <w:sz w:val="32"/>
          <w:szCs w:val="32"/>
        </w:rPr>
      </w:pP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一、项目概况</w:t>
      </w:r>
    </w:p>
    <w:p>
      <w:pPr>
        <w:pageBreakBefore w:val="0"/>
        <w:kinsoku/>
        <w:wordWrap/>
        <w:overflowPunct/>
        <w:topLinePunct w:val="0"/>
        <w:bidi w:val="0"/>
        <w:spacing w:line="240" w:lineRule="auto"/>
        <w:ind w:firstLine="632"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项目名称：海南医科大学第二附属医院信息化办公设备零星维修入库项目</w:t>
      </w:r>
    </w:p>
    <w:p>
      <w:pPr>
        <w:pageBreakBefore w:val="0"/>
        <w:kinsoku/>
        <w:wordWrap/>
        <w:overflowPunct/>
        <w:topLinePunct w:val="0"/>
        <w:bidi w:val="0"/>
        <w:spacing w:line="240" w:lineRule="auto"/>
        <w:ind w:firstLine="632" w:firstLineChars="200"/>
        <w:jc w:val="left"/>
        <w:rPr>
          <w:rFonts w:hint="eastAsia" w:ascii="仿宋_GB2312" w:hAnsi="仿宋_GB2312" w:eastAsia="仿宋_GB2312" w:cs="仿宋_GB2312"/>
          <w:b w:val="0"/>
          <w:bCs w:val="0"/>
          <w:sz w:val="32"/>
          <w:szCs w:val="32"/>
          <w:lang w:val="en-US" w:eastAsia="zh-CN"/>
        </w:rPr>
      </w:pPr>
      <w:r>
        <w:rPr>
          <w:rFonts w:hint="eastAsia" w:cs="仿宋_GB2312"/>
          <w:b w:val="0"/>
          <w:bCs w:val="0"/>
          <w:sz w:val="32"/>
          <w:szCs w:val="32"/>
          <w:lang w:val="en-US" w:eastAsia="zh-CN"/>
        </w:rPr>
        <w:t>入库</w:t>
      </w:r>
      <w:r>
        <w:rPr>
          <w:rFonts w:hint="eastAsia" w:ascii="仿宋_GB2312" w:hAnsi="仿宋_GB2312" w:eastAsia="仿宋_GB2312" w:cs="仿宋_GB2312"/>
          <w:b w:val="0"/>
          <w:bCs w:val="0"/>
          <w:sz w:val="32"/>
          <w:szCs w:val="32"/>
        </w:rPr>
        <w:t>内容：</w:t>
      </w:r>
      <w:r>
        <w:rPr>
          <w:rFonts w:hint="eastAsia" w:cs="仿宋_GB2312"/>
          <w:b w:val="0"/>
          <w:bCs w:val="0"/>
          <w:sz w:val="32"/>
          <w:szCs w:val="32"/>
          <w:lang w:val="en-US" w:eastAsia="zh-CN"/>
        </w:rPr>
        <w:t>详见货物名称一览表</w:t>
      </w:r>
    </w:p>
    <w:p>
      <w:pPr>
        <w:pageBreakBefore w:val="0"/>
        <w:kinsoku/>
        <w:wordWrap/>
        <w:overflowPunct/>
        <w:topLinePunct w:val="0"/>
        <w:bidi w:val="0"/>
        <w:spacing w:line="240" w:lineRule="auto"/>
        <w:ind w:firstLine="632"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交货地点：业主指定地点</w:t>
      </w:r>
      <w:r>
        <w:rPr>
          <w:rFonts w:hint="eastAsia" w:cs="仿宋_GB2312"/>
          <w:b w:val="0"/>
          <w:bCs w:val="0"/>
          <w:sz w:val="32"/>
          <w:szCs w:val="32"/>
          <w:lang w:eastAsia="zh-CN"/>
        </w:rPr>
        <w:t>（</w:t>
      </w:r>
      <w:r>
        <w:rPr>
          <w:rFonts w:hint="eastAsia" w:cs="仿宋_GB2312"/>
          <w:b w:val="0"/>
          <w:bCs w:val="0"/>
          <w:sz w:val="32"/>
          <w:szCs w:val="32"/>
          <w:lang w:val="en-US" w:eastAsia="zh-CN"/>
        </w:rPr>
        <w:t>总院和东湖院区</w:t>
      </w:r>
      <w:r>
        <w:rPr>
          <w:rFonts w:hint="eastAsia" w:cs="仿宋_GB2312"/>
          <w:b w:val="0"/>
          <w:bCs w:val="0"/>
          <w:sz w:val="32"/>
          <w:szCs w:val="32"/>
          <w:lang w:eastAsia="zh-CN"/>
        </w:rPr>
        <w:t>）</w:t>
      </w:r>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二、</w:t>
      </w:r>
      <w:r>
        <w:rPr>
          <w:rFonts w:hint="eastAsia" w:ascii="黑体" w:hAnsi="黑体" w:eastAsia="黑体" w:cs="黑体"/>
          <w:b w:val="0"/>
          <w:bCs w:val="0"/>
          <w:sz w:val="32"/>
          <w:szCs w:val="32"/>
          <w:lang w:val="en-US" w:eastAsia="zh-CN"/>
        </w:rPr>
        <w:t>采购需求</w:t>
      </w:r>
    </w:p>
    <w:p>
      <w:pPr>
        <w:pageBreakBefore w:val="0"/>
        <w:kinsoku/>
        <w:wordWrap/>
        <w:overflowPunct/>
        <w:topLinePunct w:val="0"/>
        <w:bidi w:val="0"/>
        <w:spacing w:line="240" w:lineRule="auto"/>
        <w:ind w:firstLine="632"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val="en-US" w:eastAsia="zh-CN"/>
        </w:rPr>
        <w:t>货物名称</w:t>
      </w:r>
      <w:r>
        <w:rPr>
          <w:rFonts w:hint="eastAsia" w:ascii="楷体_GB2312" w:hAnsi="楷体_GB2312" w:eastAsia="楷体_GB2312" w:cs="楷体_GB2312"/>
          <w:b w:val="0"/>
          <w:bCs w:val="0"/>
          <w:sz w:val="32"/>
          <w:szCs w:val="32"/>
        </w:rPr>
        <w:t>一览表</w:t>
      </w:r>
    </w:p>
    <w:tbl>
      <w:tblPr>
        <w:tblStyle w:val="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337"/>
        <w:gridCol w:w="3690"/>
        <w:gridCol w:w="870"/>
        <w:gridCol w:w="141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序号</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货物名称</w:t>
            </w:r>
          </w:p>
        </w:tc>
        <w:tc>
          <w:tcPr>
            <w:tcW w:w="3690"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规格与参数</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单位</w:t>
            </w:r>
          </w:p>
        </w:tc>
        <w:tc>
          <w:tcPr>
            <w:tcW w:w="1410" w:type="dxa"/>
            <w:vAlign w:val="center"/>
          </w:tcPr>
          <w:p>
            <w:pPr>
              <w:pageBreakBefore w:val="0"/>
              <w:kinsoku/>
              <w:wordWrap/>
              <w:overflowPunct/>
              <w:topLinePunct w:val="0"/>
              <w:bidi w:val="0"/>
              <w:spacing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cs="仿宋_GB2312"/>
                <w:b w:val="0"/>
                <w:bCs w:val="0"/>
                <w:sz w:val="28"/>
                <w:szCs w:val="28"/>
                <w:vertAlign w:val="baseline"/>
                <w:lang w:val="en-US" w:eastAsia="zh-CN"/>
              </w:rPr>
              <w:t>入库单价</w:t>
            </w: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粉盒</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美能达A9H0480/TN223/C226/266 蓝色原装粉盒-大容量</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CT351088 富士施乐DocuCentreV2263/C2265 原装套鼓（五代）</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粉盒</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美能达A9H0280/TN223/C226/266 黄色原装粉盒-大容量</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粉盒</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美能达A9H0380/TN223/C226/266 红色原装粉盒-大容量</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相机维修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废粉盒</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柯美WX-105（原装）废粉盒C227/C287/C367/C226/C266</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套鼓（原装/蓝色/含显影）柯美C226/C266/IU215C</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搓纸轮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美能达C7222搓纸轮一套</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硬盘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西数1TB机械硬盘</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硬盘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金士顿480G固态硬盘</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硬盘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希捷固态-酷鱼2.5寸 SATA 1T(1024G)</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分离爪</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美能达C226分离爪（5个/套）</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美能达A9R9-05A/IU215Y黄色套鼓</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联想台式机电源FSP280-40PA</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技嘉H510M主板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惠普288 G2台式机主板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联想启天M4310台式机主板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打印头</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得实DL-520 打印头</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网卡</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绿联USB网卡 30305</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键盘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T430/X230键盘（小回车）</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适配器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戴尔电源适配器19.5V/6.7A 原装</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光模块</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光模块-eSFP-GE-单模模块(1310nm 10km LC)</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显示器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酷乐 C240 （23.8寸）</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触摸板</w:t>
            </w:r>
            <w:r>
              <w:rPr>
                <w:rFonts w:hint="default" w:ascii="仿宋_GB2312" w:hAnsi="仿宋_GB2312" w:cs="仿宋_GB2312"/>
                <w:b w:val="0"/>
                <w:bCs w:val="0"/>
                <w:sz w:val="28"/>
                <w:szCs w:val="28"/>
                <w:vertAlign w:val="baseline"/>
                <w:lang w:val="en-US" w:eastAsia="zh-CN"/>
              </w:rPr>
              <w:t>+排线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联想笔记本X260/X270/X230S/X240S/ 触摸板+排线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惠普PRO 3380台式机主板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打印线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1.5M USB打印线(蓝色)</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搓纸轮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HP1008/HP1136/1007/1106/1108/1213 1216/1102/佳能LBP3018/6018/3010/ 3108 纸盒搓纸轮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分页垫</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惠普HP1010/1020/M1005/3015/1018 3030/3020/1012/1015佳能2900/2900+/3000分页器分页垫</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29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分口线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飚王USB分口 SHU850 1米线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得实650II 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分配器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迈拓二口HDMI分配器 MT-SP142</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搓纸轮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美能达C266 输稿器搓纸轮组件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显示器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惠普19.5寸显示器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柯美DR312感光鼓组件原装（287/227/367/7528）</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显示器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酷乐 C200N (20寸）</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延长线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SDI线10米-延长线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内存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金士顿8G DDR4 3200台式电脑</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编码器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ip2780打印机白条编码器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39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原装电脑主机主板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得实650II打印机电源板维修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投影仪主板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交换机</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TP-LINK 5口百兆交换机TL-SF1005+</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显示器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锐捷 RG-CPM2100V液晶显示器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内存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雷克沙PC 8G DDR4 3200/台式机内存条</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驱动组件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得实DS660色带驱动组件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转换器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SSK-SCR003网口转换器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交换机</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D-LINK-DGS-1016D千兆交换机</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套鼓（原装/黑色）柯美C226/C266/DR215K</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支</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49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柯美套鼓 IU215M红色硒鼓(原装/含显影/一体)C226/C266</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支</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交换机</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TL-SG1008+ 8口千兆交换机</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键盘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笔记本键盘</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电脑原装主板（联想启天B4550）</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电脑主板维修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电脑主板维修-联想启天b4550</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得实650II电源板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r>
              <w:rPr>
                <w:rFonts w:hint="default" w:ascii="仿宋_GB2312" w:hAnsi="仿宋_GB2312" w:cs="仿宋_GB2312"/>
                <w:b w:val="0"/>
                <w:bCs w:val="0"/>
                <w:sz w:val="28"/>
                <w:szCs w:val="28"/>
                <w:vertAlign w:val="baseline"/>
                <w:lang w:val="en-US" w:eastAsia="zh-CN"/>
              </w:rPr>
              <w:t>CPU</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台式原装主板和CPU</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打印线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3米 USB打印线（蓝头）</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排线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得实650II排线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59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三孔电源线 1.5米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富士施乐2110套鼓</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延长线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百线优USB加长线 5米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电脑原装主板NS-7100</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HDMI线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百线优HDMI线 5米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光盘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啄木鸟DVD-R/4.7G光盘</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盒</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CPU</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台式电脑CPU</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VGA线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百线优VGA线3+6 10米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分配器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迈拓维矩MT1502-K分配器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Kx-f1328cn传真机硒鼓</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69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粉盒</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Kx-f1328cn传真机粉盒</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激光器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Kx-f1328cn传真机激光器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皮带</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得实650II皮带</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VGA线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百线优VGA线3+6 5米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键盘鼠标套装</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冰甲朋克无线套装BT-7200</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光模块</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AVAGO AFBR-57D9AMZ-ELX多模光模块</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交换机</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TP-LINK 千兆交换机 SG1005+</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DVI转HDMI线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DVI转HDMI线 5米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佳能ip1180打印机进纸组件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进纸组件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picks g1830打印机进纸组件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79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齿轮组件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惠普cp1025打印机齿轮组件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进纸组件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Ip2780打印机进纸组件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联想启天M410台式机面板和开关维修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电机</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斑马 ZT410打印机电机</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皮带</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斑马 ZT410打印机皮带</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双面器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 laserjet pro m203dw打印机双面器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 laserjet pro m203dw打印机硒鼓</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开关</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施乐2520复印机侧门开关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驱动组件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得实650II色带驱动组件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联想启天M4650-B033电脑原装主板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89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富士施乐2108b进纸器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佳能2900+进纸器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搓纸轮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柯尼卡美能达C226搓纸轮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套</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USB延长线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紫熏兰USB延长线(工业级)10米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USB延长线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捷森USB工程延长线5米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台式电脑USB端口维修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惠普227FDW打印机硒鼓</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齿轮组件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惠普227FDW打印机齿轮组件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网卡</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D-PCI-E 网卡</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台式电脑联想p318电源</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99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适配器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电脑电源适配器输出19.0V6.32A120V</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DP转HDMI线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视频数据线转接口DP+转HDMI口</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美能达C226黑色硒鼓</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Brother MFC9140CDN主板维修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滚轮组件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得实滚轮组件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定影</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惠普1536定影器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滚轮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惠普1536进纸滚轮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佳能3000打印机主板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转印组件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柯尼卡美能达bizhub c226转印组件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搓纸轮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美能达bizhub 287搓纸轮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109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DP转HDMI线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捷森大DP转HDMI连接线 2米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适配器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华为电源适配器 66W 原装快充</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惠普1606进纸轮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双面器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惠普1606双面器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大电源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联想台式机电源HK280-23FP(14+4针)</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 LaserJet1020 puls主板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先马谧辉(大)24针200W电源</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富士施乐C2560定影组件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维修笔记本电脑主板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进纸组件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佳能MF4410进纸组件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119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盖板组件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佳能MF4410扫描翻盖板组件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CPU</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CPU G4400</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硒鼓</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 M227鼓架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电子屏幕</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 M227打印机电子屏幕</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佳能MF4712进纸器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风扇</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CPU风扇</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打印头</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得实2600Ⅱ打印头</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得实条码DL-520主板维修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联想ib250m主板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得实650II进纸器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129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衬套组件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得实DL520衬套组件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联想3650定影器组件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惠音108a定影器组件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橡胶滚轴</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得实条码DL-520橡胶滚轴</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电脑主机电源14+4针180W</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电脑主机电源航嘉10+4针210W</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惠普M128F打印机进纸器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粉盒</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TN223K黑色粉盒 大容量/原装打印量23000TN223K页</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支</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齿轮组件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 M281fdn更换齿轮组59.C0</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电脑主机电源 冷锋450  CTX-450-4</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139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显卡</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昂达显卡GT730典范4GD3-LPV1</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HDMI转VGA线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HDMI转VGA接口线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灯管</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戴尔Inspiron3480 AIO显示器背光灯管</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惠普M403d打印机定影器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适配器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联想170W适配器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输稿器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柯尼卡美能达bizhubC226输稿器组件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风扇</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Dell inspiron3480AIOSeries一体机CPU风扇</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电脑主机4+4电源   HP</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HDMI线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百线优HDMI线10米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柯尼卡bizhubc226定影组件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149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硬盘</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雷克沙NS100-256G/2.5/SATA固态硬盘</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显示屏维修主板联想TE20-10</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打印头</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得实660打印头</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HP 280 pro G2电脑主板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网卡</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TP-LINK 3629网卡</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头盖</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得实660打印机头盖</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戴尔E750E-S6电源</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定影器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惠普M604打印机定影器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清洁单元</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佳能G4080清洁单元</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Inspiron 3480 Al0 Series 电脑主机维修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159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电脑主板维修M32CD-G3914A2</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显示器主板维修 华硕VA249</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联想P318电脑主机电源10+4接口</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交换机</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S5735S-L48T4S-A1交换机</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激光器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惠普108A激光器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适配器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电脑电源适配器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传感器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Cacon ip2780打印机传感器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Cacon ip2780打印机进纸器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维修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显示器维修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DVI高清线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DVI高清线  5米</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条</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169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电脑主机电源24针300W</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适配器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一体机适配器 联想19V-4.74a</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惠普1108主板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佳能2900+主板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惠普126A主板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default" w:ascii="仿宋_GB2312" w:hAnsi="仿宋_GB2312" w:cs="仿宋_GB2312"/>
                <w:b w:val="0"/>
                <w:bCs w:val="0"/>
                <w:sz w:val="28"/>
                <w:szCs w:val="28"/>
                <w:vertAlign w:val="baseline"/>
                <w:lang w:val="en-US" w:eastAsia="zh-CN"/>
              </w:rPr>
              <w:t>主板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惠普1106主板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惠普1108定影组件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佳能2900+定影组件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惠普126A定影组件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定影组件</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惠普1106定影组件</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179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惠普1108电源板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佳能2900+电源板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惠普126A电源板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电源板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惠普1106电源板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激光器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惠普1108激光器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激光器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佳能2900+激光器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185</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激光器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惠普126A激光器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186</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激光器</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惠普1106激光器</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187</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控制板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惠普1108控制板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188</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控制板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佳能2900+控制板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189</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控制板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惠普126A控制板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190</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控制板</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惠普1106控制板</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191</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惠普1108进纸轮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192</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佳能2900+进纸轮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193</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惠普126A进纸轮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rPr>
            </w:pPr>
            <w:r>
              <w:rPr>
                <w:rFonts w:hint="default" w:ascii="仿宋_GB2312" w:hAnsi="仿宋_GB2312" w:cs="仿宋_GB2312"/>
                <w:b w:val="0"/>
                <w:bCs w:val="0"/>
                <w:sz w:val="28"/>
                <w:szCs w:val="28"/>
                <w:vertAlign w:val="baseline"/>
                <w:lang w:val="en-US" w:eastAsia="zh-CN"/>
              </w:rPr>
              <w:t>194</w:t>
            </w:r>
          </w:p>
        </w:tc>
        <w:tc>
          <w:tcPr>
            <w:tcW w:w="1337" w:type="dxa"/>
            <w:vAlign w:val="center"/>
          </w:tcPr>
          <w:p>
            <w:pPr>
              <w:pageBreakBefore w:val="0"/>
              <w:kinsoku/>
              <w:wordWrap/>
              <w:overflowPunct/>
              <w:topLinePunct w:val="0"/>
              <w:bidi w:val="0"/>
              <w:spacing w:line="240" w:lineRule="auto"/>
              <w:jc w:val="center"/>
              <w:rPr>
                <w:rFonts w:hint="default"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进纸轮</w:t>
            </w:r>
          </w:p>
        </w:tc>
        <w:tc>
          <w:tcPr>
            <w:tcW w:w="369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惠普1106进纸轮</w:t>
            </w:r>
          </w:p>
        </w:tc>
        <w:tc>
          <w:tcPr>
            <w:tcW w:w="870" w:type="dxa"/>
            <w:vAlign w:val="center"/>
          </w:tcPr>
          <w:p>
            <w:pPr>
              <w:pageBreakBefore w:val="0"/>
              <w:kinsoku/>
              <w:wordWrap/>
              <w:overflowPunct/>
              <w:topLinePunct w:val="0"/>
              <w:bidi w:val="0"/>
              <w:spacing w:line="240" w:lineRule="auto"/>
              <w:jc w:val="center"/>
              <w:rPr>
                <w:rFonts w:hint="eastAsia" w:ascii="仿宋_GB2312" w:hAnsi="仿宋_GB2312" w:cs="仿宋_GB2312"/>
                <w:b w:val="0"/>
                <w:bCs w:val="0"/>
                <w:sz w:val="28"/>
                <w:szCs w:val="28"/>
                <w:vertAlign w:val="baseline"/>
                <w:lang w:val="en-US" w:eastAsia="zh-CN"/>
              </w:rPr>
            </w:pPr>
            <w:r>
              <w:rPr>
                <w:rFonts w:hint="eastAsia" w:ascii="仿宋_GB2312" w:hAnsi="仿宋_GB2312" w:cs="仿宋_GB2312"/>
                <w:b w:val="0"/>
                <w:bCs w:val="0"/>
                <w:sz w:val="28"/>
                <w:szCs w:val="28"/>
                <w:vertAlign w:val="baseline"/>
                <w:lang w:val="en-US" w:eastAsia="zh-CN"/>
              </w:rPr>
              <w:t>个</w:t>
            </w:r>
          </w:p>
        </w:tc>
        <w:tc>
          <w:tcPr>
            <w:tcW w:w="1410" w:type="dxa"/>
            <w:vAlign w:val="center"/>
          </w:tcPr>
          <w:p>
            <w:pPr>
              <w:pageBreakBefore w:val="0"/>
              <w:kinsoku/>
              <w:wordWrap/>
              <w:overflowPunct/>
              <w:topLinePunct w:val="0"/>
              <w:bidi w:val="0"/>
              <w:spacing w:line="240" w:lineRule="auto"/>
              <w:jc w:val="right"/>
              <w:rPr>
                <w:rFonts w:hint="default" w:ascii="仿宋_GB2312" w:hAnsi="仿宋_GB2312" w:cs="仿宋_GB2312"/>
                <w:b w:val="0"/>
                <w:bCs w:val="0"/>
                <w:sz w:val="28"/>
                <w:szCs w:val="28"/>
                <w:vertAlign w:val="baseline"/>
                <w:lang w:val="en-US" w:eastAsia="zh-CN"/>
              </w:rPr>
            </w:pPr>
          </w:p>
        </w:tc>
        <w:tc>
          <w:tcPr>
            <w:tcW w:w="780" w:type="dxa"/>
            <w:vAlign w:val="center"/>
          </w:tcPr>
          <w:p>
            <w:pPr>
              <w:pageBreakBefore w:val="0"/>
              <w:kinsoku/>
              <w:wordWrap/>
              <w:overflowPunct/>
              <w:topLinePunct w:val="0"/>
              <w:bidi w:val="0"/>
              <w:spacing w:line="240" w:lineRule="auto"/>
              <w:jc w:val="center"/>
              <w:rPr>
                <w:rFonts w:hint="eastAsia" w:ascii="仿宋_GB2312" w:hAnsi="仿宋_GB2312" w:eastAsia="仿宋_GB2312" w:cs="仿宋_GB2312"/>
                <w:b w:val="0"/>
                <w:bCs w:val="0"/>
                <w:sz w:val="28"/>
                <w:szCs w:val="28"/>
                <w:vertAlign w:val="baseline"/>
              </w:rPr>
            </w:pPr>
          </w:p>
        </w:tc>
      </w:tr>
    </w:tbl>
    <w:p>
      <w:pPr>
        <w:pageBreakBefore w:val="0"/>
        <w:kinsoku/>
        <w:wordWrap/>
        <w:overflowPunct/>
        <w:topLinePunct w:val="0"/>
        <w:bidi w:val="0"/>
        <w:spacing w:line="240" w:lineRule="auto"/>
        <w:ind w:firstLine="632" w:firstLineChars="200"/>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（二）</w:t>
      </w:r>
      <w:r>
        <w:rPr>
          <w:rFonts w:hint="default" w:ascii="楷体_GB2312" w:hAnsi="楷体_GB2312" w:eastAsia="楷体_GB2312" w:cs="楷体_GB2312"/>
          <w:b w:val="0"/>
          <w:bCs w:val="0"/>
          <w:sz w:val="32"/>
          <w:szCs w:val="32"/>
          <w:lang w:val="en-US" w:eastAsia="zh-CN"/>
        </w:rPr>
        <w:t>质保期及售后服务要求：</w:t>
      </w:r>
    </w:p>
    <w:p>
      <w:pPr>
        <w:pageBreakBefore w:val="0"/>
        <w:kinsoku/>
        <w:wordWrap/>
        <w:overflowPunct/>
        <w:topLinePunct w:val="0"/>
        <w:bidi w:val="0"/>
        <w:spacing w:line="240" w:lineRule="auto"/>
        <w:ind w:firstLine="632" w:firstLineChars="200"/>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1.乙方所提供的货物的质保期按照生产厂家标准</w:t>
      </w:r>
      <w:r>
        <w:rPr>
          <w:rFonts w:hint="eastAsia" w:cs="仿宋_GB2312"/>
          <w:b w:val="0"/>
          <w:bCs w:val="0"/>
          <w:sz w:val="32"/>
          <w:szCs w:val="32"/>
          <w:lang w:val="en-US" w:eastAsia="zh-CN"/>
        </w:rPr>
        <w:t>（如是维修更换小配件维保时间不低于</w:t>
      </w:r>
      <w:r>
        <w:rPr>
          <w:rFonts w:hint="default" w:cs="仿宋_GB2312"/>
          <w:b w:val="0"/>
          <w:bCs w:val="0"/>
          <w:sz w:val="32"/>
          <w:szCs w:val="32"/>
          <w:lang w:val="en-US" w:eastAsia="zh-CN"/>
        </w:rPr>
        <w:t>3</w:t>
      </w:r>
      <w:r>
        <w:rPr>
          <w:rFonts w:hint="eastAsia" w:cs="仿宋_GB2312"/>
          <w:b w:val="0"/>
          <w:bCs w:val="0"/>
          <w:sz w:val="32"/>
          <w:szCs w:val="32"/>
          <w:lang w:val="en-US" w:eastAsia="zh-CN"/>
        </w:rPr>
        <w:t>个月）。</w:t>
      </w:r>
    </w:p>
    <w:p>
      <w:pPr>
        <w:pageBreakBefore w:val="0"/>
        <w:kinsoku/>
        <w:wordWrap/>
        <w:overflowPunct/>
        <w:topLinePunct w:val="0"/>
        <w:bidi w:val="0"/>
        <w:spacing w:line="240" w:lineRule="auto"/>
        <w:ind w:firstLine="632" w:firstLineChars="200"/>
        <w:rPr>
          <w:rFonts w:hint="default" w:ascii="仿宋_GB2312" w:hAnsi="仿宋_GB2312" w:eastAsia="仿宋_GB2312" w:cs="仿宋_GB2312"/>
          <w:b w:val="0"/>
          <w:bCs w:val="0"/>
          <w:sz w:val="32"/>
          <w:szCs w:val="32"/>
          <w:lang w:val="en-US" w:eastAsia="zh-CN"/>
        </w:rPr>
      </w:pPr>
      <w:r>
        <w:rPr>
          <w:rFonts w:hint="default"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.乙方应保证在质保期内按照生产厂家的服务标准向甲方提供售后服务。</w:t>
      </w:r>
    </w:p>
    <w:p>
      <w:pPr>
        <w:pageBreakBefore w:val="0"/>
        <w:kinsoku/>
        <w:wordWrap/>
        <w:overflowPunct/>
        <w:topLinePunct w:val="0"/>
        <w:bidi w:val="0"/>
        <w:spacing w:line="240" w:lineRule="auto"/>
        <w:ind w:firstLine="632" w:firstLineChars="200"/>
        <w:rPr>
          <w:rFonts w:hint="default" w:ascii="仿宋_GB2312" w:hAnsi="仿宋_GB2312" w:eastAsia="仿宋_GB2312" w:cs="仿宋_GB2312"/>
          <w:b w:val="0"/>
          <w:bCs w:val="0"/>
          <w:sz w:val="32"/>
          <w:szCs w:val="32"/>
          <w:lang w:val="en-US" w:eastAsia="zh-CN"/>
        </w:rPr>
      </w:pPr>
      <w:r>
        <w:rPr>
          <w:rFonts w:hint="default"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.货物的保修期或与质量相关的其他期限均自完成最终验收并由甲方签署了货物验收单之日算起。</w:t>
      </w:r>
      <w:bookmarkStart w:id="0" w:name="_GoBack"/>
      <w:bookmarkEnd w:id="0"/>
    </w:p>
    <w:p>
      <w:pPr>
        <w:pageBreakBefore w:val="0"/>
        <w:kinsoku/>
        <w:wordWrap/>
        <w:overflowPunct/>
        <w:topLinePunct w:val="0"/>
        <w:bidi w:val="0"/>
        <w:spacing w:line="240" w:lineRule="auto"/>
        <w:ind w:firstLine="632" w:firstLineChars="200"/>
        <w:outlineLvl w:val="2"/>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、付款方式</w:t>
      </w:r>
    </w:p>
    <w:p>
      <w:pPr>
        <w:pageBreakBefore w:val="0"/>
        <w:kinsoku/>
        <w:wordWrap/>
        <w:overflowPunct/>
        <w:topLinePunct w:val="0"/>
        <w:bidi w:val="0"/>
        <w:snapToGrid w:val="0"/>
        <w:spacing w:line="240" w:lineRule="auto"/>
        <w:ind w:firstLine="632" w:firstLineChars="200"/>
        <w:jc w:val="left"/>
        <w:rPr>
          <w:rFonts w:hint="eastAsia" w:ascii="仿宋_GB2312" w:hAnsi="仿宋_GB2312" w:eastAsia="仿宋_GB2312" w:cs="仿宋_GB2312"/>
          <w:b w:val="0"/>
          <w:bCs w:val="0"/>
          <w:sz w:val="32"/>
          <w:szCs w:val="32"/>
          <w:lang w:val="en-US" w:eastAsia="zh-CN"/>
        </w:rPr>
      </w:pPr>
      <w:r>
        <w:rPr>
          <w:rFonts w:hint="eastAsia" w:cs="仿宋_GB2312"/>
          <w:b w:val="0"/>
          <w:bCs w:val="0"/>
          <w:sz w:val="32"/>
          <w:szCs w:val="32"/>
          <w:lang w:val="en-US" w:eastAsia="zh-CN"/>
        </w:rPr>
        <w:t>验收合格后，按月支付或按季度支付的方式。</w:t>
      </w:r>
    </w:p>
    <w:sectPr>
      <w:footerReference r:id="rId3" w:type="default"/>
      <w:pgSz w:w="11906" w:h="16838"/>
      <w:pgMar w:top="2098" w:right="1474" w:bottom="1984" w:left="1587" w:header="851" w:footer="1536" w:gutter="0"/>
      <w:pgNumType w:fmt="decimal"/>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353C6"/>
    <w:rsid w:val="0016369F"/>
    <w:rsid w:val="001D081A"/>
    <w:rsid w:val="00343184"/>
    <w:rsid w:val="006E4413"/>
    <w:rsid w:val="00776437"/>
    <w:rsid w:val="008C2155"/>
    <w:rsid w:val="009B4DB4"/>
    <w:rsid w:val="00E87429"/>
    <w:rsid w:val="00FF29D3"/>
    <w:rsid w:val="04A92DA7"/>
    <w:rsid w:val="057E124E"/>
    <w:rsid w:val="087D1CE6"/>
    <w:rsid w:val="09AF2C3B"/>
    <w:rsid w:val="0ABD0260"/>
    <w:rsid w:val="0B8C399D"/>
    <w:rsid w:val="0BD76267"/>
    <w:rsid w:val="0C39530F"/>
    <w:rsid w:val="0C8C40BD"/>
    <w:rsid w:val="0D0444D2"/>
    <w:rsid w:val="0E6726F1"/>
    <w:rsid w:val="1393167D"/>
    <w:rsid w:val="169716CF"/>
    <w:rsid w:val="1BBF3ADE"/>
    <w:rsid w:val="1E026449"/>
    <w:rsid w:val="20F140EE"/>
    <w:rsid w:val="22C4415D"/>
    <w:rsid w:val="22E42E7F"/>
    <w:rsid w:val="241976DC"/>
    <w:rsid w:val="253F55C0"/>
    <w:rsid w:val="25CE080E"/>
    <w:rsid w:val="281F2DB8"/>
    <w:rsid w:val="2A152C31"/>
    <w:rsid w:val="2B8353C6"/>
    <w:rsid w:val="2B9F12A6"/>
    <w:rsid w:val="2F653431"/>
    <w:rsid w:val="32D11349"/>
    <w:rsid w:val="3514562D"/>
    <w:rsid w:val="352D33F2"/>
    <w:rsid w:val="37DA519C"/>
    <w:rsid w:val="392253A1"/>
    <w:rsid w:val="39C90A3C"/>
    <w:rsid w:val="3BC7453E"/>
    <w:rsid w:val="3D0D4AD0"/>
    <w:rsid w:val="3D935204"/>
    <w:rsid w:val="3EB95E39"/>
    <w:rsid w:val="3EFB01E2"/>
    <w:rsid w:val="41AD3B1A"/>
    <w:rsid w:val="42040BF3"/>
    <w:rsid w:val="423879D1"/>
    <w:rsid w:val="46B9663B"/>
    <w:rsid w:val="481B34F1"/>
    <w:rsid w:val="4A8354E0"/>
    <w:rsid w:val="4C793116"/>
    <w:rsid w:val="4D392301"/>
    <w:rsid w:val="4D40460D"/>
    <w:rsid w:val="4EBE4FC6"/>
    <w:rsid w:val="4F2C1C16"/>
    <w:rsid w:val="4FA60CDC"/>
    <w:rsid w:val="4FF8132B"/>
    <w:rsid w:val="5A7859AA"/>
    <w:rsid w:val="5C665C76"/>
    <w:rsid w:val="5E295A55"/>
    <w:rsid w:val="5FC92228"/>
    <w:rsid w:val="60EA43DF"/>
    <w:rsid w:val="61571C23"/>
    <w:rsid w:val="66AF3274"/>
    <w:rsid w:val="676748D3"/>
    <w:rsid w:val="691E10C9"/>
    <w:rsid w:val="6B124A1C"/>
    <w:rsid w:val="6B563895"/>
    <w:rsid w:val="6E414B18"/>
    <w:rsid w:val="76D00FE7"/>
    <w:rsid w:val="771A4789"/>
    <w:rsid w:val="7A643F14"/>
    <w:rsid w:val="7FD12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sz w:val="32"/>
      <w:lang w:val="en-US" w:eastAsia="zh-CN"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b/>
      <w:kern w:val="44"/>
      <w:sz w:val="20"/>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rFonts w:ascii="宋体" w:hAnsi="Times New Roman" w:eastAsia="宋体" w:cs="Times New Roman"/>
      <w:sz w:val="18"/>
      <w:szCs w:val="18"/>
    </w:rPr>
  </w:style>
  <w:style w:type="character" w:customStyle="1" w:styleId="9">
    <w:name w:val="页脚 Char"/>
    <w:basedOn w:val="7"/>
    <w:link w:val="3"/>
    <w:qFormat/>
    <w:uiPriority w:val="0"/>
    <w:rPr>
      <w:rFonts w:ascii="宋体" w:hAnsi="Times New Roman" w:eastAsia="宋体" w:cs="Times New Roman"/>
      <w:sz w:val="18"/>
      <w:szCs w:val="18"/>
    </w:rPr>
  </w:style>
  <w:style w:type="character" w:customStyle="1" w:styleId="10">
    <w:name w:val="font01"/>
    <w:basedOn w:val="7"/>
    <w:uiPriority w:val="0"/>
    <w:rPr>
      <w:rFonts w:ascii="Arial" w:hAnsi="Arial" w:cs="Arial"/>
      <w:color w:val="000000"/>
      <w:sz w:val="20"/>
      <w:szCs w:val="20"/>
      <w:u w:val="none"/>
    </w:rPr>
  </w:style>
  <w:style w:type="character" w:customStyle="1" w:styleId="11">
    <w:name w:val="font1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1911</Words>
  <Characters>2474</Characters>
  <Lines>24</Lines>
  <Paragraphs>6</Paragraphs>
  <TotalTime>2</TotalTime>
  <ScaleCrop>false</ScaleCrop>
  <LinksUpToDate>false</LinksUpToDate>
  <CharactersWithSpaces>2629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2025-06-30T07:08:00Z</dcterms:created>
  <dc:creator>诶哀</dc:creator>
  <cp:lastModifiedBy>Administrator</cp:lastModifiedBy>
  <dcterms:modified xsi:type="dcterms:W3CDTF">2026-02-02T01:13:56Z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7D8ABB70A3714D0EBAEABD0E4849F0BE</vt:lpwstr>
  </property>
  <property fmtid="{D5CDD505-2E9C-101B-9397-08002B2CF9AE}" pid="4" name="KSOTemplateDocerSaveRecord">
    <vt:lpwstr>eyJoZGlkIjoiYzNhMzBiMDMxMGY2MjMzMWRhZjI1NTk1ODZlY2I5NjQifQ==</vt:lpwstr>
  </property>
</Properties>
</file>