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Toc7621"/>
      <w:bookmarkStart w:id="1" w:name="_Toc2040"/>
      <w:bookmarkStart w:id="2" w:name="_Toc1291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海南医科大学第二附属医院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监控设备存储扩容项目需求书</w:t>
      </w:r>
      <w:bookmarkEnd w:id="0"/>
      <w:bookmarkEnd w:id="1"/>
      <w:bookmarkEnd w:id="2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jc w:val="center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一、项目简介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方便我院监控管理，把医院各个科室的监控设备连接到保卫科监控室，需要存储扩容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bookmarkStart w:id="3" w:name="_GoBack"/>
      <w:bookmarkEnd w:id="3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二、技术参数、规格及其要求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（一）采购货物一览表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458"/>
        <w:gridCol w:w="1149"/>
        <w:gridCol w:w="1149"/>
        <w:gridCol w:w="1193"/>
        <w:gridCol w:w="1596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1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11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9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单价限价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/>
              </w:rPr>
              <w:t>1</w:t>
            </w:r>
          </w:p>
        </w:tc>
        <w:tc>
          <w:tcPr>
            <w:tcW w:w="14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监控硬盘</w:t>
            </w:r>
          </w:p>
        </w:tc>
        <w:tc>
          <w:tcPr>
            <w:tcW w:w="11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详见技术参数</w:t>
            </w:r>
          </w:p>
        </w:tc>
        <w:tc>
          <w:tcPr>
            <w:tcW w:w="11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50</w:t>
            </w:r>
            <w:r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.00</w:t>
            </w:r>
          </w:p>
        </w:tc>
        <w:tc>
          <w:tcPr>
            <w:tcW w:w="159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1,600.00</w:t>
            </w:r>
          </w:p>
        </w:tc>
        <w:tc>
          <w:tcPr>
            <w:tcW w:w="11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（二）技术参数要求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default" w:cs="仿宋_GB2312"/>
          <w:b w:val="0"/>
          <w:bCs w:val="0"/>
          <w:color w:val="000000"/>
          <w:sz w:val="32"/>
          <w:szCs w:val="32"/>
          <w:lang w:val="en-US" w:bidi="ar"/>
        </w:rPr>
        <w:t>1</w:t>
      </w:r>
      <w:r>
        <w:rPr>
          <w:rFonts w:hint="default" w:ascii="仿宋_GB2312" w:hAnsi="仿宋_GB2312" w:cs="仿宋_GB2312"/>
          <w:b w:val="0"/>
          <w:bCs w:val="0"/>
          <w:color w:val="000000"/>
          <w:sz w:val="32"/>
          <w:szCs w:val="32"/>
          <w:lang w:val="en-US" w:bidi="ar"/>
        </w:rPr>
        <w:t>.</w:t>
      </w:r>
      <w:r>
        <w:rPr>
          <w:rFonts w:hint="eastAsia" w:cs="仿宋_GB2312"/>
          <w:b w:val="0"/>
          <w:bCs w:val="0"/>
          <w:color w:val="000000"/>
          <w:sz w:val="32"/>
          <w:szCs w:val="32"/>
          <w:lang w:val="en-US" w:eastAsia="zh-CN" w:bidi="ar"/>
        </w:rPr>
        <w:t>监控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硬盘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8TB，3.5英寸，SATA3.0接口，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bidi="ar"/>
        </w:rPr>
        <w:t>5400RPM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eastAsia="zh-CN" w:bidi="ar"/>
        </w:rPr>
        <w:t>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传输速率≥215MB/s，流畅存储视频有效防止丢帧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eastAsia="zh-CN" w:bidi="ar"/>
        </w:rPr>
        <w:t>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（</w:t>
      </w:r>
      <w:r>
        <w:rPr>
          <w:rFonts w:hint="default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）高级格式（AF）512e扇区技术，保障硬盘扇区4K对齐</w:t>
      </w:r>
      <w:r>
        <w:rPr>
          <w:rFonts w:hint="eastAsia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（</w:t>
      </w:r>
      <w:r>
        <w:rPr>
          <w:rFonts w:hint="default" w:cs="仿宋_GB2312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）满足数据严苛的7*24小时运行可靠性、安全性的需求</w:t>
      </w:r>
      <w:r>
        <w:rPr>
          <w:rFonts w:hint="eastAsia" w:cs="仿宋_GB2312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★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三、服务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要求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本次采购的产品包含</w:t>
      </w:r>
      <w:r>
        <w:rPr>
          <w:rFonts w:hint="default" w:cs="仿宋_GB2312"/>
          <w:b w:val="0"/>
          <w:bCs w:val="0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年原厂免费维保服务（保修期从竣工验收之日起计算）；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包含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监控硬盘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的实施调试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安装设备、系统调试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四、交货时间、交货地点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（一）交货时间：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签订合同之日起</w:t>
      </w:r>
      <w:r>
        <w:rPr>
          <w:rFonts w:hint="default" w:cs="仿宋_GB2312"/>
          <w:b w:val="0"/>
          <w:bCs w:val="0"/>
          <w:kern w:val="28"/>
          <w:sz w:val="32"/>
          <w:szCs w:val="32"/>
          <w:lang w:val="en-US"/>
        </w:rPr>
        <w:t>5</w:t>
      </w:r>
      <w:r>
        <w:rPr>
          <w:rFonts w:hint="eastAsia" w:cs="仿宋_GB2312"/>
          <w:b w:val="0"/>
          <w:bCs w:val="0"/>
          <w:kern w:val="28"/>
          <w:sz w:val="32"/>
          <w:szCs w:val="32"/>
          <w:lang w:val="en-US" w:eastAsia="zh-CN"/>
        </w:rPr>
        <w:t>个日历天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内完成供货及安装。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（二）交货地点：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采购人指定地点。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五、付款方式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240" w:lineRule="auto"/>
        <w:ind w:firstLine="632" w:firstLineChars="200"/>
        <w:jc w:val="left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货物验收合格后甲方支付</w:t>
      </w:r>
      <w:r>
        <w:rPr>
          <w:rFonts w:hint="default" w:cs="仿宋_GB2312"/>
          <w:b w:val="0"/>
          <w:bCs w:val="0"/>
          <w:sz w:val="32"/>
          <w:szCs w:val="32"/>
          <w:lang w:val="en-US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0%货款（即¥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，大写：人民币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）给乙方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1536" w:gutter="0"/>
      <w:pgNumType w:fmt="decimal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353C6"/>
    <w:rsid w:val="0016369F"/>
    <w:rsid w:val="001D081A"/>
    <w:rsid w:val="00343184"/>
    <w:rsid w:val="006E4413"/>
    <w:rsid w:val="00776437"/>
    <w:rsid w:val="008C2155"/>
    <w:rsid w:val="009B4DB4"/>
    <w:rsid w:val="00E87429"/>
    <w:rsid w:val="00FF29D3"/>
    <w:rsid w:val="07EF15CA"/>
    <w:rsid w:val="087D1CE6"/>
    <w:rsid w:val="09AF2C3B"/>
    <w:rsid w:val="0A6C1B56"/>
    <w:rsid w:val="0B8C399D"/>
    <w:rsid w:val="0C39530F"/>
    <w:rsid w:val="0D0444D2"/>
    <w:rsid w:val="1BBF3ADE"/>
    <w:rsid w:val="1E026449"/>
    <w:rsid w:val="20F140EE"/>
    <w:rsid w:val="22C4415D"/>
    <w:rsid w:val="22E42E7F"/>
    <w:rsid w:val="253F55C0"/>
    <w:rsid w:val="25CE080E"/>
    <w:rsid w:val="281F2DB8"/>
    <w:rsid w:val="2A152C31"/>
    <w:rsid w:val="2B8353C6"/>
    <w:rsid w:val="2F653431"/>
    <w:rsid w:val="32D11349"/>
    <w:rsid w:val="3514562D"/>
    <w:rsid w:val="37DA519C"/>
    <w:rsid w:val="392253A1"/>
    <w:rsid w:val="3D0D4AD0"/>
    <w:rsid w:val="3EFB01E2"/>
    <w:rsid w:val="41AD3B1A"/>
    <w:rsid w:val="423879D1"/>
    <w:rsid w:val="46B9663B"/>
    <w:rsid w:val="4C793116"/>
    <w:rsid w:val="4D392301"/>
    <w:rsid w:val="4D40460D"/>
    <w:rsid w:val="4F2C1C16"/>
    <w:rsid w:val="4FA60CDC"/>
    <w:rsid w:val="50F645D8"/>
    <w:rsid w:val="5A7859AA"/>
    <w:rsid w:val="60EA43DF"/>
    <w:rsid w:val="61571C23"/>
    <w:rsid w:val="66AF3274"/>
    <w:rsid w:val="676748D3"/>
    <w:rsid w:val="6B124A1C"/>
    <w:rsid w:val="6B563895"/>
    <w:rsid w:val="6E414B18"/>
    <w:rsid w:val="76D00FE7"/>
    <w:rsid w:val="771A4789"/>
    <w:rsid w:val="7FD1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kern w:val="44"/>
      <w:sz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1911</Words>
  <Characters>2474</Characters>
  <Lines>24</Lines>
  <Paragraphs>6</Paragraphs>
  <TotalTime>5</TotalTime>
  <ScaleCrop>false</ScaleCrop>
  <LinksUpToDate>false</LinksUpToDate>
  <CharactersWithSpaces>2629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2025-06-30T07:08:00Z</dcterms:created>
  <dc:creator>诶哀</dc:creator>
  <cp:lastModifiedBy>Administrator</cp:lastModifiedBy>
  <dcterms:modified xsi:type="dcterms:W3CDTF">2025-11-19T01:42:33Z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7D8ABB70A3714D0EBAEABD0E4849F0BE</vt:lpwstr>
  </property>
  <property fmtid="{D5CDD505-2E9C-101B-9397-08002B2CF9AE}" pid="4" name="KSOTemplateDocerSaveRecord">
    <vt:lpwstr>eyJoZGlkIjoiYzNhMzBiMDMxMGY2MjMzMWRhZjI1NTk1ODZlY2I5NjQifQ==</vt:lpwstr>
  </property>
</Properties>
</file>