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12"/>
        </w:tabs>
        <w:spacing w:line="360" w:lineRule="auto"/>
        <w:jc w:val="center"/>
        <w:rPr>
          <w:rFonts w:ascii="宋体" w:hAnsi="宋体" w:eastAsia="宋体" w:cs="Times New Roman"/>
          <w:b/>
          <w:bCs/>
          <w:sz w:val="48"/>
          <w:szCs w:val="36"/>
        </w:rPr>
      </w:pPr>
      <w:r>
        <w:rPr>
          <w:rFonts w:hint="eastAsia" w:ascii="宋体" w:hAnsi="宋体" w:eastAsia="宋体" w:cs="Times New Roman"/>
          <w:b/>
          <w:bCs/>
          <w:sz w:val="48"/>
          <w:szCs w:val="36"/>
        </w:rPr>
        <w:t>海南医学院第二附属医院</w:t>
      </w:r>
    </w:p>
    <w:p>
      <w:pPr>
        <w:spacing w:line="360" w:lineRule="auto"/>
        <w:jc w:val="center"/>
        <w:rPr>
          <w:rFonts w:hint="eastAsia" w:ascii="宋体" w:hAnsi="宋体" w:eastAsia="宋体" w:cs="Times New Roman"/>
          <w:b/>
          <w:bCs/>
          <w:sz w:val="48"/>
          <w:szCs w:val="36"/>
        </w:rPr>
      </w:pPr>
      <w:r>
        <w:rPr>
          <w:rFonts w:hint="eastAsia" w:ascii="宋体" w:hAnsi="宋体" w:eastAsia="宋体" w:cs="Times New Roman"/>
          <w:b/>
          <w:bCs/>
          <w:sz w:val="48"/>
          <w:szCs w:val="36"/>
        </w:rPr>
        <w:t>EMC数据存储及容灾设备维保服务需求书</w:t>
      </w:r>
    </w:p>
    <w:p>
      <w:pPr>
        <w:ind w:firstLine="560" w:firstLineChars="200"/>
        <w:rPr>
          <w:rFonts w:hint="eastAsia" w:ascii="Times New Roman" w:hAnsi="Times New Roman" w:eastAsia="宋体" w:cs="Times New Roman"/>
          <w:sz w:val="28"/>
          <w:szCs w:val="28"/>
          <w:lang w:val="en-US" w:eastAsia="zh-CN"/>
        </w:rPr>
      </w:pPr>
    </w:p>
    <w:p>
      <w:pPr>
        <w:keepNext/>
        <w:numPr>
          <w:ilvl w:val="0"/>
          <w:numId w:val="1"/>
        </w:numPr>
        <w:tabs>
          <w:tab w:val="left" w:pos="360"/>
        </w:tabs>
        <w:outlineLvl w:val="0"/>
        <w:rPr>
          <w:rFonts w:ascii="宋体" w:hAnsi="宋体" w:eastAsia="宋体" w:cs="Times New Roman"/>
          <w:b/>
          <w:color w:val="000000"/>
          <w:sz w:val="28"/>
          <w:szCs w:val="28"/>
        </w:rPr>
      </w:pPr>
      <w:bookmarkStart w:id="0" w:name="_前言"/>
      <w:bookmarkEnd w:id="0"/>
      <w:r>
        <w:rPr>
          <w:rFonts w:hint="eastAsia" w:ascii="宋体" w:hAnsi="宋体" w:eastAsia="宋体" w:cs="Times New Roman"/>
          <w:b/>
          <w:color w:val="000000"/>
          <w:sz w:val="28"/>
          <w:szCs w:val="28"/>
        </w:rPr>
        <w:t>项目背景</w:t>
      </w:r>
    </w:p>
    <w:p>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海南</w:t>
      </w:r>
      <w:r>
        <w:rPr>
          <w:rFonts w:hint="eastAsia" w:ascii="Times New Roman" w:hAnsi="Times New Roman" w:eastAsia="宋体" w:cs="Times New Roman"/>
          <w:sz w:val="28"/>
          <w:szCs w:val="28"/>
          <w:lang w:val="en-US" w:eastAsia="zh-CN"/>
        </w:rPr>
        <w:t>医科大学</w:t>
      </w:r>
      <w:r>
        <w:rPr>
          <w:rFonts w:hint="eastAsia" w:ascii="Times New Roman" w:hAnsi="Times New Roman" w:eastAsia="宋体" w:cs="Times New Roman"/>
          <w:sz w:val="28"/>
          <w:szCs w:val="28"/>
        </w:rPr>
        <w:t>第二附属医院原数据存储及容灾设备即将过保，目前这些核心设备仍然为院内关键应用提供运行支撑，需要保证很高的可用性。</w:t>
      </w:r>
    </w:p>
    <w:p>
      <w:pPr>
        <w:ind w:firstLine="560" w:firstLineChars="200"/>
        <w:rPr>
          <w:rFonts w:ascii="Times New Roman" w:hAnsi="Times New Roman" w:eastAsia="宋体" w:cs="Times New Roman"/>
          <w:sz w:val="28"/>
          <w:szCs w:val="28"/>
        </w:rPr>
      </w:pPr>
      <w:r>
        <w:rPr>
          <w:rFonts w:hint="eastAsia" w:ascii="Times New Roman" w:hAnsi="Times New Roman" w:eastAsia="宋体" w:cs="Times New Roman"/>
          <w:sz w:val="28"/>
          <w:szCs w:val="28"/>
        </w:rPr>
        <w:t>为了确保相关设备在出现故障时，能够</w:t>
      </w:r>
      <w:bookmarkStart w:id="1" w:name="_GoBack"/>
      <w:bookmarkEnd w:id="1"/>
      <w:r>
        <w:rPr>
          <w:rFonts w:hint="eastAsia" w:ascii="Times New Roman" w:hAnsi="Times New Roman" w:eastAsia="宋体" w:cs="Times New Roman"/>
          <w:sz w:val="28"/>
          <w:szCs w:val="28"/>
        </w:rPr>
        <w:t>较快的获得相应的原厂级别故障处理及技术支持服务，使这些信息系统能够保证连续稳定运行，在出现故障时快速恢复可用，需要购买这些系统设备的原厂级别技术支持及维保服务。</w:t>
      </w:r>
    </w:p>
    <w:p>
      <w:pPr>
        <w:keepNext/>
        <w:numPr>
          <w:ilvl w:val="0"/>
          <w:numId w:val="1"/>
        </w:numPr>
        <w:tabs>
          <w:tab w:val="left" w:pos="360"/>
        </w:tabs>
        <w:outlineLvl w:val="0"/>
        <w:rPr>
          <w:rFonts w:ascii="宋体" w:hAnsi="宋体" w:eastAsia="宋体" w:cs="Times New Roman"/>
          <w:b/>
          <w:color w:val="000000"/>
          <w:sz w:val="28"/>
          <w:szCs w:val="28"/>
        </w:rPr>
      </w:pPr>
      <w:r>
        <w:rPr>
          <w:rFonts w:hint="eastAsia" w:ascii="宋体" w:hAnsi="宋体" w:eastAsia="宋体" w:cs="Times New Roman"/>
          <w:b/>
          <w:color w:val="000000"/>
          <w:sz w:val="28"/>
          <w:szCs w:val="28"/>
        </w:rPr>
        <w:t>采购预算</w:t>
      </w:r>
    </w:p>
    <w:p>
      <w:pPr>
        <w:ind w:left="420"/>
        <w:rPr>
          <w:rFonts w:ascii="Times New Roman" w:hAnsi="Times New Roman" w:eastAsia="宋体" w:cs="Times New Roman"/>
          <w:sz w:val="28"/>
          <w:szCs w:val="28"/>
        </w:rPr>
      </w:pPr>
      <w:r>
        <w:rPr>
          <w:rFonts w:hint="eastAsia" w:ascii="Times New Roman" w:hAnsi="Times New Roman" w:eastAsia="宋体" w:cs="Times New Roman"/>
          <w:sz w:val="28"/>
          <w:szCs w:val="28"/>
        </w:rPr>
        <w:t>采购预算价：</w:t>
      </w:r>
      <w:r>
        <w:rPr>
          <w:rFonts w:hint="default" w:ascii="Times New Roman" w:hAnsi="Times New Roman" w:eastAsia="宋体" w:cs="Times New Roman"/>
          <w:sz w:val="28"/>
          <w:szCs w:val="28"/>
          <w:lang w:val="en-US"/>
        </w:rPr>
        <w:t>15.9</w:t>
      </w:r>
      <w:r>
        <w:rPr>
          <w:rFonts w:hint="eastAsia" w:ascii="Times New Roman" w:hAnsi="Times New Roman" w:eastAsia="宋体" w:cs="Times New Roman"/>
          <w:sz w:val="28"/>
          <w:szCs w:val="28"/>
          <w:lang w:val="en-US" w:eastAsia="zh-CN"/>
        </w:rPr>
        <w:t>万</w:t>
      </w:r>
      <w:r>
        <w:rPr>
          <w:rFonts w:hint="eastAsia" w:ascii="Times New Roman" w:hAnsi="Times New Roman" w:eastAsia="宋体" w:cs="Times New Roman"/>
          <w:sz w:val="28"/>
          <w:szCs w:val="28"/>
        </w:rPr>
        <w:t>元</w:t>
      </w:r>
    </w:p>
    <w:p>
      <w:pPr>
        <w:numPr>
          <w:ilvl w:val="0"/>
          <w:numId w:val="1"/>
        </w:numPr>
        <w:rPr>
          <w:rFonts w:ascii="Times New Roman" w:hAnsi="Times New Roman" w:eastAsia="宋体" w:cs="Times New Roman"/>
          <w:b/>
          <w:sz w:val="28"/>
          <w:szCs w:val="28"/>
        </w:rPr>
      </w:pPr>
      <w:r>
        <w:rPr>
          <w:rFonts w:hint="eastAsia" w:ascii="Times New Roman" w:hAnsi="Times New Roman" w:eastAsia="宋体" w:cs="Times New Roman"/>
          <w:b/>
          <w:sz w:val="28"/>
          <w:szCs w:val="28"/>
        </w:rPr>
        <w:t>设备清单</w:t>
      </w: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3125"/>
        <w:gridCol w:w="2678"/>
        <w:gridCol w:w="1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pPr>
              <w:ind w:firstLine="562" w:firstLineChars="200"/>
              <w:rPr>
                <w:rFonts w:ascii="Times New Roman" w:hAnsi="Times New Roman" w:eastAsia="宋体" w:cs="Times New Roman"/>
                <w:b/>
                <w:bCs/>
                <w:kern w:val="0"/>
                <w:sz w:val="28"/>
                <w:szCs w:val="28"/>
              </w:rPr>
            </w:pPr>
            <w:r>
              <w:rPr>
                <w:rFonts w:hint="eastAsia" w:ascii="Times New Roman" w:hAnsi="Times New Roman" w:eastAsia="宋体" w:cs="Times New Roman"/>
                <w:b/>
                <w:bCs/>
                <w:kern w:val="0"/>
                <w:sz w:val="28"/>
                <w:szCs w:val="28"/>
              </w:rPr>
              <w:t>设备</w:t>
            </w:r>
          </w:p>
        </w:tc>
        <w:tc>
          <w:tcPr>
            <w:tcW w:w="3125" w:type="dxa"/>
          </w:tcPr>
          <w:p>
            <w:pPr>
              <w:jc w:val="center"/>
              <w:rPr>
                <w:rFonts w:ascii="Times New Roman" w:hAnsi="Times New Roman" w:eastAsia="宋体" w:cs="Times New Roman"/>
                <w:b/>
                <w:bCs/>
                <w:kern w:val="0"/>
                <w:sz w:val="28"/>
                <w:szCs w:val="28"/>
              </w:rPr>
            </w:pPr>
            <w:r>
              <w:rPr>
                <w:rFonts w:hint="eastAsia" w:ascii="Times New Roman" w:hAnsi="Times New Roman" w:eastAsia="宋体" w:cs="Times New Roman"/>
                <w:b/>
                <w:bCs/>
                <w:kern w:val="0"/>
                <w:sz w:val="28"/>
                <w:szCs w:val="28"/>
              </w:rPr>
              <w:t>品牌/</w:t>
            </w:r>
            <w:r>
              <w:rPr>
                <w:rFonts w:ascii="Times New Roman" w:hAnsi="Times New Roman" w:eastAsia="宋体" w:cs="Times New Roman"/>
                <w:b/>
                <w:bCs/>
                <w:kern w:val="0"/>
                <w:sz w:val="28"/>
                <w:szCs w:val="28"/>
              </w:rPr>
              <w:t>型号</w:t>
            </w:r>
          </w:p>
        </w:tc>
        <w:tc>
          <w:tcPr>
            <w:tcW w:w="2678" w:type="dxa"/>
          </w:tcPr>
          <w:p>
            <w:pPr>
              <w:ind w:firstLine="562" w:firstLineChars="200"/>
              <w:rPr>
                <w:rFonts w:ascii="Times New Roman" w:hAnsi="Times New Roman" w:eastAsia="宋体" w:cs="Times New Roman"/>
                <w:b/>
                <w:bCs/>
                <w:kern w:val="0"/>
                <w:sz w:val="28"/>
                <w:szCs w:val="28"/>
              </w:rPr>
            </w:pPr>
            <w:r>
              <w:rPr>
                <w:rFonts w:ascii="Times New Roman" w:hAnsi="Times New Roman" w:eastAsia="宋体" w:cs="Times New Roman"/>
                <w:b/>
                <w:bCs/>
                <w:kern w:val="0"/>
                <w:sz w:val="28"/>
                <w:szCs w:val="28"/>
              </w:rPr>
              <w:t>配置描述</w:t>
            </w:r>
          </w:p>
        </w:tc>
        <w:tc>
          <w:tcPr>
            <w:tcW w:w="1645" w:type="dxa"/>
          </w:tcPr>
          <w:p>
            <w:pPr>
              <w:ind w:firstLine="562" w:firstLineChars="200"/>
              <w:rPr>
                <w:rFonts w:ascii="Times New Roman" w:hAnsi="Times New Roman" w:eastAsia="宋体" w:cs="Times New Roman"/>
                <w:b/>
                <w:bCs/>
                <w:kern w:val="0"/>
                <w:sz w:val="28"/>
                <w:szCs w:val="28"/>
              </w:rPr>
            </w:pPr>
            <w:r>
              <w:rPr>
                <w:rFonts w:ascii="Times New Roman" w:hAnsi="Times New Roman" w:eastAsia="宋体" w:cs="Times New Roman"/>
                <w:b/>
                <w:bCs/>
                <w:kern w:val="0"/>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vAlign w:val="center"/>
          </w:tcPr>
          <w:p>
            <w:pPr>
              <w:jc w:val="center"/>
              <w:rPr>
                <w:rFonts w:ascii="Times New Roman" w:hAnsi="Times New Roman" w:eastAsia="宋体" w:cs="Times New Roman"/>
                <w:kern w:val="2"/>
                <w:sz w:val="28"/>
                <w:szCs w:val="28"/>
              </w:rPr>
            </w:pPr>
            <w:r>
              <w:rPr>
                <w:rFonts w:hint="eastAsia" w:ascii="Times New Roman" w:hAnsi="Times New Roman" w:eastAsia="宋体" w:cs="Times New Roman"/>
                <w:kern w:val="2"/>
                <w:sz w:val="28"/>
                <w:szCs w:val="28"/>
              </w:rPr>
              <w:t>数据存储设备</w:t>
            </w:r>
          </w:p>
        </w:tc>
        <w:tc>
          <w:tcPr>
            <w:tcW w:w="3125" w:type="dxa"/>
            <w:vAlign w:val="center"/>
          </w:tcPr>
          <w:p>
            <w:pPr>
              <w:rPr>
                <w:rFonts w:ascii="Times New Roman" w:hAnsi="Times New Roman" w:eastAsia="宋体" w:cs="Times New Roman"/>
                <w:kern w:val="2"/>
                <w:sz w:val="28"/>
                <w:szCs w:val="28"/>
              </w:rPr>
            </w:pPr>
            <w:r>
              <w:rPr>
                <w:rFonts w:ascii="Times New Roman" w:hAnsi="Times New Roman" w:eastAsia="宋体" w:cs="Times New Roman"/>
                <w:kern w:val="2"/>
                <w:sz w:val="28"/>
                <w:szCs w:val="28"/>
              </w:rPr>
              <w:t>DELL</w:t>
            </w:r>
            <w:r>
              <w:rPr>
                <w:rFonts w:hint="eastAsia" w:ascii="Times New Roman" w:hAnsi="Times New Roman" w:eastAsia="宋体" w:cs="Times New Roman"/>
                <w:kern w:val="2"/>
                <w:sz w:val="28"/>
                <w:szCs w:val="28"/>
              </w:rPr>
              <w:t>E</w:t>
            </w:r>
            <w:r>
              <w:rPr>
                <w:rFonts w:ascii="Times New Roman" w:hAnsi="Times New Roman" w:eastAsia="宋体" w:cs="Times New Roman"/>
                <w:kern w:val="2"/>
                <w:sz w:val="28"/>
                <w:szCs w:val="28"/>
              </w:rPr>
              <w:t>MC/VNX</w:t>
            </w:r>
            <w:r>
              <w:rPr>
                <w:rFonts w:hint="eastAsia" w:ascii="Times New Roman" w:hAnsi="Times New Roman" w:eastAsia="宋体" w:cs="Times New Roman"/>
                <w:kern w:val="2"/>
                <w:sz w:val="28"/>
                <w:szCs w:val="28"/>
              </w:rPr>
              <w:t>5500</w:t>
            </w:r>
          </w:p>
        </w:tc>
        <w:tc>
          <w:tcPr>
            <w:tcW w:w="2678" w:type="dxa"/>
          </w:tcPr>
          <w:p>
            <w:pPr>
              <w:jc w:val="left"/>
              <w:rPr>
                <w:rFonts w:ascii="Times New Roman" w:hAnsi="Times New Roman" w:eastAsia="宋体" w:cs="Times New Roman"/>
                <w:kern w:val="2"/>
                <w:sz w:val="28"/>
                <w:szCs w:val="28"/>
              </w:rPr>
            </w:pPr>
            <w:r>
              <w:rPr>
                <w:rFonts w:hint="eastAsia" w:ascii="Times New Roman" w:hAnsi="Times New Roman" w:eastAsia="宋体" w:cs="Times New Roman"/>
                <w:kern w:val="2"/>
                <w:sz w:val="28"/>
                <w:szCs w:val="28"/>
              </w:rPr>
              <w:t>双控，配置</w:t>
            </w:r>
            <w:r>
              <w:rPr>
                <w:rFonts w:ascii="Times New Roman" w:hAnsi="Times New Roman" w:eastAsia="宋体" w:cs="Times New Roman"/>
                <w:kern w:val="2"/>
                <w:sz w:val="28"/>
                <w:szCs w:val="28"/>
              </w:rPr>
              <w:t>45块300GB 15K SAS,45块600GB SAS,30块2TB NL_SAS，15块3TB NL_SAS，30块4TB NL_SAS ,</w:t>
            </w:r>
            <w:r>
              <w:rPr>
                <w:rFonts w:hint="eastAsia" w:ascii="Times New Roman" w:hAnsi="Times New Roman" w:eastAsia="宋体" w:cs="Times New Roman"/>
                <w:kern w:val="2"/>
                <w:sz w:val="28"/>
                <w:szCs w:val="28"/>
              </w:rPr>
              <w:t>容灾体系</w:t>
            </w:r>
          </w:p>
        </w:tc>
        <w:tc>
          <w:tcPr>
            <w:tcW w:w="1645" w:type="dxa"/>
            <w:vAlign w:val="center"/>
          </w:tcPr>
          <w:p>
            <w:pPr>
              <w:ind w:firstLine="560" w:firstLineChars="200"/>
              <w:jc w:val="left"/>
              <w:rPr>
                <w:rFonts w:ascii="Times New Roman" w:hAnsi="Times New Roman" w:eastAsia="宋体" w:cs="Times New Roman"/>
                <w:kern w:val="2"/>
                <w:sz w:val="28"/>
                <w:szCs w:val="28"/>
              </w:rPr>
            </w:pPr>
            <w:r>
              <w:rPr>
                <w:rFonts w:hint="eastAsia" w:ascii="Times New Roman" w:hAnsi="Times New Roman" w:eastAsia="宋体" w:cs="Times New Roman"/>
                <w:kern w:val="2"/>
                <w:sz w:val="28"/>
                <w:szCs w:val="28"/>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vAlign w:val="center"/>
          </w:tcPr>
          <w:p>
            <w:pPr>
              <w:jc w:val="center"/>
              <w:rPr>
                <w:rFonts w:ascii="Times New Roman" w:hAnsi="Times New Roman" w:eastAsia="宋体" w:cs="Times New Roman"/>
                <w:kern w:val="2"/>
                <w:sz w:val="28"/>
                <w:szCs w:val="28"/>
              </w:rPr>
            </w:pPr>
            <w:r>
              <w:rPr>
                <w:rFonts w:hint="eastAsia" w:ascii="Times New Roman" w:hAnsi="Times New Roman" w:eastAsia="宋体" w:cs="Times New Roman"/>
                <w:kern w:val="2"/>
                <w:sz w:val="28"/>
                <w:szCs w:val="28"/>
              </w:rPr>
              <w:t>连续数据保护装置</w:t>
            </w:r>
          </w:p>
        </w:tc>
        <w:tc>
          <w:tcPr>
            <w:tcW w:w="3125" w:type="dxa"/>
            <w:vAlign w:val="center"/>
          </w:tcPr>
          <w:p>
            <w:pPr>
              <w:rPr>
                <w:rFonts w:ascii="Times New Roman" w:hAnsi="Times New Roman" w:eastAsia="宋体" w:cs="Times New Roman"/>
                <w:kern w:val="2"/>
                <w:sz w:val="28"/>
                <w:szCs w:val="28"/>
              </w:rPr>
            </w:pPr>
            <w:r>
              <w:rPr>
                <w:rFonts w:ascii="Times New Roman" w:hAnsi="Times New Roman" w:eastAsia="宋体" w:cs="Times New Roman"/>
                <w:kern w:val="2"/>
                <w:sz w:val="28"/>
                <w:szCs w:val="28"/>
              </w:rPr>
              <w:t>DELLEMC/R</w:t>
            </w:r>
            <w:r>
              <w:rPr>
                <w:rFonts w:hint="eastAsia" w:ascii="Times New Roman" w:hAnsi="Times New Roman" w:eastAsia="宋体" w:cs="Times New Roman"/>
                <w:kern w:val="2"/>
                <w:sz w:val="28"/>
                <w:szCs w:val="28"/>
              </w:rPr>
              <w:t>ecoverpoint</w:t>
            </w:r>
          </w:p>
        </w:tc>
        <w:tc>
          <w:tcPr>
            <w:tcW w:w="2678" w:type="dxa"/>
          </w:tcPr>
          <w:p>
            <w:pPr>
              <w:rPr>
                <w:rFonts w:ascii="Times New Roman" w:hAnsi="Times New Roman" w:eastAsia="宋体" w:cs="Times New Roman"/>
                <w:kern w:val="2"/>
                <w:sz w:val="28"/>
                <w:szCs w:val="28"/>
              </w:rPr>
            </w:pPr>
            <w:r>
              <w:rPr>
                <w:rFonts w:ascii="Times New Roman" w:hAnsi="Times New Roman" w:eastAsia="宋体" w:cs="Times New Roman"/>
                <w:kern w:val="2"/>
                <w:sz w:val="28"/>
                <w:szCs w:val="28"/>
              </w:rPr>
              <w:t>Recoverpoint CDP Appliance</w:t>
            </w:r>
          </w:p>
        </w:tc>
        <w:tc>
          <w:tcPr>
            <w:tcW w:w="1645" w:type="dxa"/>
            <w:vAlign w:val="center"/>
          </w:tcPr>
          <w:p>
            <w:pPr>
              <w:ind w:firstLine="560" w:firstLineChars="200"/>
              <w:rPr>
                <w:rFonts w:ascii="Times New Roman" w:hAnsi="Times New Roman" w:eastAsia="宋体" w:cs="Times New Roman"/>
                <w:kern w:val="2"/>
                <w:sz w:val="28"/>
                <w:szCs w:val="28"/>
              </w:rPr>
            </w:pPr>
            <w:r>
              <w:rPr>
                <w:rFonts w:hint="eastAsia" w:ascii="Times New Roman" w:hAnsi="Times New Roman" w:eastAsia="宋体" w:cs="Times New Roman"/>
                <w:kern w:val="2"/>
                <w:sz w:val="28"/>
                <w:szCs w:val="28"/>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vAlign w:val="center"/>
          </w:tcPr>
          <w:p>
            <w:pPr>
              <w:jc w:val="center"/>
              <w:rPr>
                <w:rFonts w:ascii="Times New Roman" w:hAnsi="Times New Roman" w:eastAsia="宋体" w:cs="Times New Roman"/>
                <w:kern w:val="2"/>
                <w:sz w:val="28"/>
                <w:szCs w:val="28"/>
              </w:rPr>
            </w:pPr>
            <w:r>
              <w:rPr>
                <w:rFonts w:hint="eastAsia" w:ascii="Times New Roman" w:hAnsi="Times New Roman" w:eastAsia="宋体" w:cs="Times New Roman"/>
                <w:kern w:val="2"/>
                <w:sz w:val="28"/>
                <w:szCs w:val="28"/>
              </w:rPr>
              <w:t>光纤交换机</w:t>
            </w:r>
          </w:p>
        </w:tc>
        <w:tc>
          <w:tcPr>
            <w:tcW w:w="3125" w:type="dxa"/>
            <w:vAlign w:val="center"/>
          </w:tcPr>
          <w:p>
            <w:pPr>
              <w:rPr>
                <w:rFonts w:ascii="Times New Roman" w:hAnsi="Times New Roman" w:eastAsia="宋体" w:cs="Times New Roman"/>
                <w:kern w:val="2"/>
                <w:sz w:val="28"/>
                <w:szCs w:val="28"/>
              </w:rPr>
            </w:pPr>
            <w:r>
              <w:rPr>
                <w:rFonts w:ascii="Times New Roman" w:hAnsi="Times New Roman" w:eastAsia="宋体" w:cs="Times New Roman"/>
                <w:kern w:val="2"/>
                <w:sz w:val="28"/>
                <w:szCs w:val="28"/>
              </w:rPr>
              <w:t>DELLEMC/DS</w:t>
            </w:r>
            <w:r>
              <w:rPr>
                <w:rFonts w:hint="eastAsia" w:ascii="Times New Roman" w:hAnsi="Times New Roman" w:eastAsia="宋体" w:cs="Times New Roman"/>
                <w:kern w:val="2"/>
                <w:sz w:val="28"/>
                <w:szCs w:val="28"/>
              </w:rPr>
              <w:t>300</w:t>
            </w:r>
            <w:r>
              <w:rPr>
                <w:rFonts w:ascii="Times New Roman" w:hAnsi="Times New Roman" w:eastAsia="宋体" w:cs="Times New Roman"/>
                <w:kern w:val="2"/>
                <w:sz w:val="28"/>
                <w:szCs w:val="28"/>
              </w:rPr>
              <w:t>B</w:t>
            </w:r>
          </w:p>
        </w:tc>
        <w:tc>
          <w:tcPr>
            <w:tcW w:w="2678" w:type="dxa"/>
          </w:tcPr>
          <w:p>
            <w:pPr>
              <w:rPr>
                <w:rFonts w:ascii="Times New Roman" w:hAnsi="Times New Roman" w:eastAsia="宋体" w:cs="Times New Roman"/>
                <w:kern w:val="2"/>
                <w:sz w:val="28"/>
                <w:szCs w:val="28"/>
              </w:rPr>
            </w:pPr>
            <w:r>
              <w:rPr>
                <w:rFonts w:hint="eastAsia" w:ascii="Times New Roman" w:hAnsi="Times New Roman" w:eastAsia="宋体" w:cs="Times New Roman"/>
                <w:kern w:val="2"/>
                <w:sz w:val="28"/>
                <w:szCs w:val="28"/>
              </w:rPr>
              <w:t>8G</w:t>
            </w:r>
            <w:r>
              <w:rPr>
                <w:rFonts w:ascii="Times New Roman" w:hAnsi="Times New Roman" w:eastAsia="宋体" w:cs="Times New Roman"/>
                <w:kern w:val="2"/>
                <w:sz w:val="28"/>
                <w:szCs w:val="28"/>
              </w:rPr>
              <w:t>b</w:t>
            </w:r>
            <w:r>
              <w:rPr>
                <w:rFonts w:hint="eastAsia" w:ascii="Times New Roman" w:hAnsi="Times New Roman" w:eastAsia="宋体" w:cs="Times New Roman"/>
                <w:kern w:val="2"/>
                <w:sz w:val="28"/>
                <w:szCs w:val="28"/>
              </w:rPr>
              <w:t>/s</w:t>
            </w:r>
            <w:r>
              <w:rPr>
                <w:rFonts w:ascii="Times New Roman" w:hAnsi="Times New Roman" w:eastAsia="宋体" w:cs="Times New Roman"/>
                <w:kern w:val="2"/>
                <w:sz w:val="28"/>
                <w:szCs w:val="28"/>
              </w:rPr>
              <w:t>,</w:t>
            </w:r>
            <w:r>
              <w:rPr>
                <w:rFonts w:hint="eastAsia" w:ascii="Times New Roman" w:hAnsi="Times New Roman" w:eastAsia="宋体" w:cs="Times New Roman"/>
                <w:kern w:val="2"/>
                <w:sz w:val="28"/>
                <w:szCs w:val="28"/>
              </w:rPr>
              <w:t>24端口全</w:t>
            </w:r>
            <w:r>
              <w:rPr>
                <w:rFonts w:ascii="Times New Roman" w:hAnsi="Times New Roman" w:eastAsia="宋体" w:cs="Times New Roman"/>
                <w:kern w:val="2"/>
                <w:sz w:val="28"/>
                <w:szCs w:val="28"/>
              </w:rPr>
              <w:t>激活</w:t>
            </w:r>
          </w:p>
        </w:tc>
        <w:tc>
          <w:tcPr>
            <w:tcW w:w="1645" w:type="dxa"/>
            <w:vAlign w:val="center"/>
          </w:tcPr>
          <w:p>
            <w:pPr>
              <w:ind w:firstLine="560" w:firstLineChars="200"/>
              <w:rPr>
                <w:rFonts w:ascii="Times New Roman" w:hAnsi="Times New Roman" w:eastAsia="宋体" w:cs="Times New Roman"/>
                <w:kern w:val="2"/>
                <w:sz w:val="28"/>
                <w:szCs w:val="28"/>
              </w:rPr>
            </w:pPr>
            <w:r>
              <w:rPr>
                <w:rFonts w:hint="eastAsia" w:ascii="Times New Roman" w:hAnsi="Times New Roman" w:eastAsia="宋体" w:cs="Times New Roman"/>
                <w:kern w:val="2"/>
                <w:sz w:val="28"/>
                <w:szCs w:val="28"/>
              </w:rPr>
              <w:t>4台</w:t>
            </w:r>
          </w:p>
        </w:tc>
      </w:tr>
    </w:tbl>
    <w:p>
      <w:pPr>
        <w:rPr>
          <w:rFonts w:ascii="Times New Roman" w:hAnsi="Times New Roman" w:eastAsia="宋体" w:cs="Times New Roman"/>
          <w:b/>
          <w:sz w:val="28"/>
          <w:szCs w:val="28"/>
        </w:rPr>
      </w:pPr>
    </w:p>
    <w:p>
      <w:pPr>
        <w:numPr>
          <w:ilvl w:val="0"/>
          <w:numId w:val="1"/>
        </w:numPr>
        <w:rPr>
          <w:rFonts w:ascii="Times New Roman" w:hAnsi="Times New Roman" w:eastAsia="宋体" w:cs="Times New Roman"/>
          <w:b/>
          <w:sz w:val="28"/>
          <w:szCs w:val="28"/>
        </w:rPr>
      </w:pPr>
      <w:r>
        <w:rPr>
          <w:rFonts w:hint="eastAsia" w:ascii="Times New Roman" w:hAnsi="Times New Roman" w:eastAsia="宋体" w:cs="Times New Roman"/>
          <w:b/>
          <w:sz w:val="28"/>
          <w:szCs w:val="28"/>
        </w:rPr>
        <w:t>硬件设备维保服务内容及服务要求</w:t>
      </w:r>
    </w:p>
    <w:p>
      <w:pPr>
        <w:rPr>
          <w:rFonts w:ascii="Times New Roman" w:hAnsi="Times New Roman" w:eastAsia="宋体"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Times New Roman"/>
          <w:sz w:val="28"/>
          <w:szCs w:val="28"/>
        </w:rPr>
        <w:t>.1  在设备清单中列出的所有设备，包括设备中安装的所有部件及其上运行的软件均属于此次维保服务的内容。</w:t>
      </w:r>
    </w:p>
    <w:p>
      <w:pPr>
        <w:rPr>
          <w:rFonts w:ascii="Times New Roman" w:hAnsi="Times New Roman" w:eastAsia="宋体"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Times New Roman"/>
          <w:sz w:val="28"/>
          <w:szCs w:val="28"/>
        </w:rPr>
        <w:t>2  设备服务要求如下：</w:t>
      </w:r>
    </w:p>
    <w:p>
      <w:pPr>
        <w:numPr>
          <w:ilvl w:val="0"/>
          <w:numId w:val="2"/>
        </w:numPr>
        <w:rPr>
          <w:rFonts w:ascii="Times New Roman" w:hAnsi="Times New Roman" w:eastAsia="宋体" w:cs="Times New Roman"/>
          <w:sz w:val="28"/>
          <w:szCs w:val="28"/>
        </w:rPr>
      </w:pPr>
      <w:r>
        <w:rPr>
          <w:rFonts w:hint="eastAsia" w:ascii="Times New Roman" w:hAnsi="Times New Roman" w:eastAsia="宋体" w:cs="Times New Roman"/>
          <w:sz w:val="28"/>
          <w:szCs w:val="28"/>
        </w:rPr>
        <w:t>服务商应处理并解决现有设备</w:t>
      </w:r>
      <w:r>
        <w:rPr>
          <w:rFonts w:hint="eastAsia" w:ascii="Times New Roman" w:hAnsi="Times New Roman" w:eastAsia="宋体" w:cs="Times New Roman"/>
          <w:sz w:val="28"/>
          <w:szCs w:val="28"/>
          <w:lang w:val="en-US" w:eastAsia="zh-CN"/>
        </w:rPr>
        <w:t>已</w:t>
      </w:r>
      <w:r>
        <w:rPr>
          <w:rFonts w:hint="eastAsia" w:ascii="Times New Roman" w:hAnsi="Times New Roman" w:eastAsia="宋体" w:cs="Times New Roman"/>
          <w:sz w:val="28"/>
          <w:szCs w:val="28"/>
        </w:rPr>
        <w:t>存在</w:t>
      </w:r>
      <w:r>
        <w:rPr>
          <w:rFonts w:hint="eastAsia" w:ascii="Times New Roman" w:hAnsi="Times New Roman" w:eastAsia="宋体" w:cs="Times New Roman"/>
          <w:sz w:val="28"/>
          <w:szCs w:val="28"/>
          <w:lang w:val="en-US" w:eastAsia="zh-CN"/>
        </w:rPr>
        <w:t>的</w:t>
      </w:r>
      <w:r>
        <w:rPr>
          <w:rFonts w:hint="eastAsia" w:ascii="Times New Roman" w:hAnsi="Times New Roman" w:eastAsia="宋体" w:cs="Times New Roman"/>
          <w:sz w:val="28"/>
          <w:szCs w:val="28"/>
        </w:rPr>
        <w:t>故障，保证数据安全及设备运行稳定；</w:t>
      </w:r>
    </w:p>
    <w:p>
      <w:pPr>
        <w:numPr>
          <w:ilvl w:val="0"/>
          <w:numId w:val="2"/>
        </w:numPr>
        <w:rPr>
          <w:rFonts w:ascii="Times New Roman" w:hAnsi="Times New Roman" w:eastAsia="宋体" w:cs="Times New Roman"/>
          <w:sz w:val="28"/>
          <w:szCs w:val="28"/>
        </w:rPr>
      </w:pPr>
      <w:r>
        <w:rPr>
          <w:rFonts w:hint="eastAsia" w:ascii="Times New Roman" w:hAnsi="Times New Roman" w:eastAsia="宋体" w:cs="Times New Roman"/>
          <w:sz w:val="28"/>
          <w:szCs w:val="28"/>
        </w:rPr>
        <w:t>更换的设备及部件要求是符合使用标准的正规配件，现场按要求配置相应数量的常用备件，以满足故障快速处理要求；</w:t>
      </w:r>
    </w:p>
    <w:p>
      <w:pPr>
        <w:numPr>
          <w:ilvl w:val="0"/>
          <w:numId w:val="2"/>
        </w:numPr>
        <w:rPr>
          <w:rFonts w:ascii="Times New Roman" w:hAnsi="Times New Roman" w:eastAsia="宋体" w:cs="Times New Roman"/>
          <w:sz w:val="28"/>
          <w:szCs w:val="28"/>
        </w:rPr>
      </w:pPr>
      <w:r>
        <w:rPr>
          <w:rFonts w:hint="eastAsia" w:ascii="Times New Roman" w:hAnsi="Times New Roman" w:eastAsia="宋体" w:cs="Times New Roman"/>
          <w:sz w:val="28"/>
          <w:szCs w:val="28"/>
        </w:rPr>
        <w:t>服务商现场服务工程师应具备相关产品认证资质，并具备相关技术能力处理解决问题；</w:t>
      </w:r>
    </w:p>
    <w:p>
      <w:pPr>
        <w:numPr>
          <w:ilvl w:val="0"/>
          <w:numId w:val="2"/>
        </w:numPr>
        <w:rPr>
          <w:rFonts w:ascii="Times New Roman" w:hAnsi="Times New Roman" w:eastAsia="宋体" w:cs="Times New Roman"/>
          <w:sz w:val="28"/>
          <w:szCs w:val="28"/>
        </w:rPr>
      </w:pPr>
      <w:r>
        <w:rPr>
          <w:rFonts w:hint="eastAsia" w:ascii="Times New Roman" w:hAnsi="Times New Roman" w:eastAsia="宋体" w:cs="Times New Roman"/>
          <w:sz w:val="28"/>
          <w:szCs w:val="28"/>
        </w:rPr>
        <w:t>在接到报修电话后，30分钟内响应，如果需要现场服务，服务商工程师4-6小时到达现场；</w:t>
      </w:r>
    </w:p>
    <w:p>
      <w:pPr>
        <w:numPr>
          <w:ilvl w:val="0"/>
          <w:numId w:val="2"/>
        </w:numPr>
        <w:rPr>
          <w:rFonts w:ascii="Times New Roman" w:hAnsi="Times New Roman" w:eastAsia="宋体" w:cs="Times New Roman"/>
          <w:sz w:val="28"/>
          <w:szCs w:val="28"/>
        </w:rPr>
      </w:pPr>
      <w:r>
        <w:rPr>
          <w:rFonts w:hint="eastAsia" w:ascii="Times New Roman" w:hAnsi="Times New Roman" w:eastAsia="宋体" w:cs="Times New Roman"/>
          <w:sz w:val="28"/>
          <w:szCs w:val="28"/>
        </w:rPr>
        <w:t>每个月至少一次由服务商技术支持工程师对系统运行状况进行健康检查，并提供系统健康检查报告；</w:t>
      </w:r>
    </w:p>
    <w:p>
      <w:pPr>
        <w:numPr>
          <w:ilvl w:val="0"/>
          <w:numId w:val="2"/>
        </w:numPr>
        <w:rPr>
          <w:rFonts w:ascii="Times New Roman" w:hAnsi="Times New Roman" w:eastAsia="宋体" w:cs="Times New Roman"/>
          <w:sz w:val="28"/>
          <w:szCs w:val="28"/>
        </w:rPr>
      </w:pPr>
      <w:r>
        <w:rPr>
          <w:rFonts w:hint="eastAsia" w:ascii="Times New Roman" w:hAnsi="Times New Roman" w:eastAsia="宋体" w:cs="Times New Roman"/>
          <w:sz w:val="28"/>
          <w:szCs w:val="28"/>
        </w:rPr>
        <w:t>配合使用数据连续保护装置进行容灾演练；</w:t>
      </w:r>
    </w:p>
    <w:p>
      <w:pPr>
        <w:numPr>
          <w:ilvl w:val="0"/>
          <w:numId w:val="2"/>
        </w:numPr>
        <w:rPr>
          <w:rFonts w:ascii="Times New Roman" w:hAnsi="Times New Roman" w:eastAsia="宋体" w:cs="Times New Roman"/>
          <w:sz w:val="28"/>
          <w:szCs w:val="28"/>
        </w:rPr>
      </w:pPr>
      <w:r>
        <w:rPr>
          <w:rFonts w:hint="eastAsia" w:ascii="Times New Roman" w:hAnsi="Times New Roman" w:eastAsia="宋体" w:cs="Times New Roman"/>
          <w:sz w:val="28"/>
          <w:szCs w:val="28"/>
        </w:rPr>
        <w:t>提供7x24x4技术及备件支持；</w:t>
      </w:r>
    </w:p>
    <w:p>
      <w:pPr>
        <w:numPr>
          <w:ilvl w:val="0"/>
          <w:numId w:val="2"/>
        </w:numPr>
        <w:rPr>
          <w:rFonts w:ascii="Times New Roman" w:hAnsi="Times New Roman" w:eastAsia="宋体" w:cs="Times New Roman"/>
          <w:sz w:val="28"/>
          <w:szCs w:val="28"/>
        </w:rPr>
      </w:pPr>
      <w:r>
        <w:rPr>
          <w:rFonts w:hint="eastAsia" w:ascii="Times New Roman" w:hAnsi="Times New Roman" w:eastAsia="宋体" w:cs="Times New Roman"/>
          <w:sz w:val="28"/>
          <w:szCs w:val="28"/>
        </w:rPr>
        <w:t>每次故障处理完成，要求提供故障分析及处理报告；</w:t>
      </w:r>
    </w:p>
    <w:p>
      <w:pPr>
        <w:numPr>
          <w:ilvl w:val="0"/>
          <w:numId w:val="2"/>
        </w:numPr>
        <w:rPr>
          <w:rFonts w:ascii="Times New Roman" w:hAnsi="Times New Roman" w:eastAsia="宋体" w:cs="Times New Roman"/>
          <w:sz w:val="28"/>
          <w:szCs w:val="28"/>
        </w:rPr>
      </w:pPr>
      <w:r>
        <w:rPr>
          <w:rFonts w:hint="eastAsia" w:ascii="Times New Roman" w:hAnsi="Times New Roman" w:eastAsia="宋体" w:cs="Times New Roman"/>
          <w:sz w:val="28"/>
          <w:szCs w:val="28"/>
        </w:rPr>
        <w:t>服务商完成各项服务内容并由我方对服务质量进行季度考核，未达到考核标准不予结算当季服务费用。</w:t>
      </w:r>
    </w:p>
    <w:p>
      <w:pPr>
        <w:numPr>
          <w:ilvl w:val="0"/>
          <w:numId w:val="1"/>
        </w:numPr>
        <w:rPr>
          <w:rFonts w:ascii="Times New Roman" w:hAnsi="Times New Roman" w:eastAsia="宋体" w:cs="Times New Roman"/>
          <w:b/>
          <w:sz w:val="28"/>
          <w:szCs w:val="28"/>
        </w:rPr>
      </w:pPr>
      <w:r>
        <w:rPr>
          <w:rFonts w:hint="eastAsia" w:ascii="Times New Roman" w:hAnsi="Times New Roman" w:eastAsia="宋体" w:cs="Times New Roman"/>
          <w:b/>
          <w:sz w:val="28"/>
          <w:szCs w:val="28"/>
        </w:rPr>
        <w:t>服务提供商资质要求</w:t>
      </w:r>
    </w:p>
    <w:p>
      <w:pPr>
        <w:pStyle w:val="41"/>
        <w:numPr>
          <w:numId w:val="0"/>
        </w:numPr>
        <w:rPr>
          <w:rFonts w:hint="eastAsia"/>
          <w:sz w:val="28"/>
          <w:szCs w:val="28"/>
        </w:rPr>
      </w:pPr>
      <w:r>
        <w:rPr>
          <w:rFonts w:hint="eastAsia"/>
          <w:sz w:val="28"/>
          <w:szCs w:val="28"/>
          <w:lang w:val="en-US" w:eastAsia="zh-CN"/>
        </w:rPr>
        <w:t>　　此项目需要EMC存储产品认证的服务工程师提供维保服务（提供EMC原厂服务工程师资质证书和社保证明）</w:t>
      </w:r>
      <w:r>
        <w:rPr>
          <w:sz w:val="28"/>
          <w:szCs w:val="28"/>
        </w:rPr>
        <w:t>，以保证维保服务质量。</w:t>
      </w:r>
    </w:p>
    <w:p>
      <w:pPr>
        <w:ind w:left="420"/>
        <w:rPr>
          <w:sz w:val="28"/>
          <w:szCs w:val="28"/>
        </w:rPr>
      </w:pPr>
      <w:r>
        <w:rPr>
          <w:rFonts w:hint="eastAsia"/>
          <w:sz w:val="28"/>
          <w:szCs w:val="28"/>
        </w:rPr>
        <w:t>附件：服务质量考核表</w:t>
      </w:r>
    </w:p>
    <w:p>
      <w:pPr>
        <w:jc w:val="center"/>
        <w:rPr>
          <w:rFonts w:hAnsi="宋体"/>
          <w:b/>
          <w:iCs/>
          <w:color w:val="000000" w:themeColor="text1"/>
          <w:sz w:val="36"/>
          <w:szCs w:val="36"/>
          <w14:textFill>
            <w14:solidFill>
              <w14:schemeClr w14:val="tx1"/>
            </w14:solidFill>
          </w14:textFill>
        </w:rPr>
      </w:pPr>
      <w:r>
        <w:rPr>
          <w:rFonts w:hint="eastAsia" w:hAnsi="宋体"/>
          <w:b/>
          <w:iCs/>
          <w:color w:val="000000" w:themeColor="text1"/>
          <w:sz w:val="36"/>
          <w:szCs w:val="36"/>
          <w14:textFill>
            <w14:solidFill>
              <w14:schemeClr w14:val="tx1"/>
            </w14:solidFill>
          </w14:textFill>
        </w:rPr>
        <w:t>维保</w:t>
      </w:r>
      <w:r>
        <w:rPr>
          <w:rFonts w:hAnsi="宋体"/>
          <w:b/>
          <w:iCs/>
          <w:color w:val="000000" w:themeColor="text1"/>
          <w:sz w:val="36"/>
          <w:szCs w:val="36"/>
          <w14:textFill>
            <w14:solidFill>
              <w14:schemeClr w14:val="tx1"/>
            </w14:solidFill>
          </w14:textFill>
        </w:rPr>
        <w:t>服务</w:t>
      </w:r>
      <w:r>
        <w:rPr>
          <w:rFonts w:hint="eastAsia" w:hAnsi="宋体"/>
          <w:b/>
          <w:iCs/>
          <w:color w:val="000000" w:themeColor="text1"/>
          <w:sz w:val="36"/>
          <w:szCs w:val="36"/>
          <w14:textFill>
            <w14:solidFill>
              <w14:schemeClr w14:val="tx1"/>
            </w14:solidFill>
          </w14:textFill>
        </w:rPr>
        <w:t>质量</w:t>
      </w:r>
      <w:r>
        <w:rPr>
          <w:rFonts w:hAnsi="宋体"/>
          <w:b/>
          <w:iCs/>
          <w:color w:val="000000" w:themeColor="text1"/>
          <w:sz w:val="36"/>
          <w:szCs w:val="36"/>
          <w14:textFill>
            <w14:solidFill>
              <w14:schemeClr w14:val="tx1"/>
            </w14:solidFill>
          </w14:textFill>
        </w:rPr>
        <w:t>考核</w:t>
      </w:r>
      <w:r>
        <w:rPr>
          <w:rFonts w:hint="eastAsia" w:hAnsi="宋体"/>
          <w:b/>
          <w:iCs/>
          <w:color w:val="000000" w:themeColor="text1"/>
          <w:sz w:val="36"/>
          <w:szCs w:val="36"/>
          <w14:textFill>
            <w14:solidFill>
              <w14:schemeClr w14:val="tx1"/>
            </w14:solidFill>
          </w14:textFill>
        </w:rPr>
        <w:t>表</w:t>
      </w:r>
    </w:p>
    <w:tbl>
      <w:tblPr>
        <w:tblStyle w:val="22"/>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80"/>
        <w:gridCol w:w="2109"/>
        <w:gridCol w:w="706"/>
        <w:gridCol w:w="696"/>
        <w:gridCol w:w="1236"/>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shd w:val="clear" w:color="auto" w:fill="BFBFBF"/>
            <w:vAlign w:val="center"/>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服务项目</w:t>
            </w:r>
          </w:p>
        </w:tc>
        <w:tc>
          <w:tcPr>
            <w:tcW w:w="1280" w:type="dxa"/>
            <w:shd w:val="clear" w:color="auto" w:fill="BFBFBF"/>
            <w:vAlign w:val="center"/>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服务</w:t>
            </w:r>
            <w:r>
              <w:rPr>
                <w:rFonts w:ascii="宋体" w:hAnsi="宋体"/>
                <w:b/>
                <w:color w:val="000000" w:themeColor="text1"/>
                <w14:textFill>
                  <w14:solidFill>
                    <w14:schemeClr w14:val="tx1"/>
                  </w14:solidFill>
                </w14:textFill>
              </w:rPr>
              <w:t>内容</w:t>
            </w:r>
          </w:p>
        </w:tc>
        <w:tc>
          <w:tcPr>
            <w:tcW w:w="2109" w:type="dxa"/>
            <w:shd w:val="clear" w:color="auto" w:fill="BFBFBF"/>
            <w:vAlign w:val="center"/>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要求</w:t>
            </w:r>
          </w:p>
        </w:tc>
        <w:tc>
          <w:tcPr>
            <w:tcW w:w="706" w:type="dxa"/>
            <w:shd w:val="clear" w:color="auto" w:fill="BFBFBF"/>
            <w:vAlign w:val="center"/>
          </w:tcPr>
          <w:p>
            <w:pP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权重 </w:t>
            </w:r>
            <w:r>
              <w:rPr>
                <w:rFonts w:ascii="宋体" w:hAnsi="宋体"/>
                <w:b/>
                <w:color w:val="000000" w:themeColor="text1"/>
                <w14:textFill>
                  <w14:solidFill>
                    <w14:schemeClr w14:val="tx1"/>
                  </w14:solidFill>
                </w14:textFill>
              </w:rPr>
              <w:t>%</w:t>
            </w:r>
          </w:p>
        </w:tc>
        <w:tc>
          <w:tcPr>
            <w:tcW w:w="696" w:type="dxa"/>
            <w:shd w:val="clear" w:color="auto" w:fill="BFBFBF"/>
            <w:vAlign w:val="center"/>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考核</w:t>
            </w:r>
            <w:r>
              <w:rPr>
                <w:rFonts w:ascii="宋体" w:hAnsi="宋体"/>
                <w:b/>
                <w:color w:val="000000" w:themeColor="text1"/>
                <w14:textFill>
                  <w14:solidFill>
                    <w14:schemeClr w14:val="tx1"/>
                  </w14:solidFill>
                </w14:textFill>
              </w:rPr>
              <w:t>周期</w:t>
            </w:r>
          </w:p>
        </w:tc>
        <w:tc>
          <w:tcPr>
            <w:tcW w:w="1236" w:type="dxa"/>
            <w:shd w:val="clear" w:color="auto" w:fill="BFBFBF"/>
            <w:vAlign w:val="center"/>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完成</w:t>
            </w:r>
            <w:r>
              <w:rPr>
                <w:rFonts w:ascii="宋体" w:hAnsi="宋体"/>
                <w:b/>
                <w:color w:val="000000" w:themeColor="text1"/>
                <w14:textFill>
                  <w14:solidFill>
                    <w14:schemeClr w14:val="tx1"/>
                  </w14:solidFill>
                </w14:textFill>
              </w:rPr>
              <w:t>情况</w:t>
            </w:r>
          </w:p>
        </w:tc>
        <w:tc>
          <w:tcPr>
            <w:tcW w:w="1015" w:type="dxa"/>
            <w:shd w:val="clear" w:color="auto" w:fill="BFBFBF"/>
            <w:vAlign w:val="center"/>
          </w:tcPr>
          <w:p>
            <w:pPr>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Merge w:val="restart"/>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定期巡检服务</w:t>
            </w:r>
          </w:p>
        </w:tc>
        <w:tc>
          <w:tcPr>
            <w:tcW w:w="1280" w:type="dxa"/>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月度</w:t>
            </w:r>
            <w:r>
              <w:rPr>
                <w:rFonts w:ascii="宋体" w:hAnsi="宋体"/>
                <w:color w:val="000000" w:themeColor="text1"/>
                <w14:textFill>
                  <w14:solidFill>
                    <w14:schemeClr w14:val="tx1"/>
                  </w14:solidFill>
                </w14:textFill>
              </w:rPr>
              <w:t>巡检服务</w:t>
            </w:r>
          </w:p>
        </w:tc>
        <w:tc>
          <w:tcPr>
            <w:tcW w:w="2109" w:type="dxa"/>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按月</w:t>
            </w:r>
            <w:r>
              <w:rPr>
                <w:rFonts w:ascii="宋体" w:hAnsi="宋体"/>
                <w:color w:val="000000" w:themeColor="text1"/>
                <w14:textFill>
                  <w14:solidFill>
                    <w14:schemeClr w14:val="tx1"/>
                  </w14:solidFill>
                </w14:textFill>
              </w:rPr>
              <w:t>巡检</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提交巡检报告</w:t>
            </w:r>
          </w:p>
        </w:tc>
        <w:tc>
          <w:tcPr>
            <w:tcW w:w="706" w:type="dxa"/>
            <w:shd w:val="clear" w:color="auto" w:fill="auto"/>
            <w:vAlign w:val="center"/>
          </w:tcPr>
          <w:p>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0</w:t>
            </w:r>
            <w:r>
              <w:rPr>
                <w:rFonts w:ascii="宋体" w:hAnsi="宋体"/>
                <w:color w:val="000000" w:themeColor="text1"/>
                <w14:textFill>
                  <w14:solidFill>
                    <w14:schemeClr w14:val="tx1"/>
                  </w14:solidFill>
                </w14:textFill>
              </w:rPr>
              <w:t>%</w:t>
            </w:r>
          </w:p>
        </w:tc>
        <w:tc>
          <w:tcPr>
            <w:tcW w:w="696" w:type="dxa"/>
            <w:vMerge w:val="restart"/>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季度</w:t>
            </w:r>
          </w:p>
        </w:tc>
        <w:tc>
          <w:tcPr>
            <w:tcW w:w="1236" w:type="dxa"/>
            <w:shd w:val="clear" w:color="auto" w:fill="auto"/>
            <w:vAlign w:val="center"/>
          </w:tcPr>
          <w:p>
            <w:pPr>
              <w:rPr>
                <w:rFonts w:ascii="宋体" w:hAnsi="宋体"/>
                <w:color w:val="000000" w:themeColor="text1"/>
                <w14:textFill>
                  <w14:solidFill>
                    <w14:schemeClr w14:val="tx1"/>
                  </w14:solidFill>
                </w14:textFill>
              </w:rPr>
            </w:pPr>
          </w:p>
        </w:tc>
        <w:tc>
          <w:tcPr>
            <w:tcW w:w="1015" w:type="dxa"/>
            <w:vMerge w:val="restart"/>
            <w:shd w:val="clear" w:color="auto" w:fill="auto"/>
          </w:tcPr>
          <w:p>
            <w:pPr>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Merge w:val="continue"/>
            <w:shd w:val="clear" w:color="auto" w:fill="auto"/>
            <w:vAlign w:val="center"/>
          </w:tcPr>
          <w:p>
            <w:pPr>
              <w:jc w:val="center"/>
              <w:rPr>
                <w:rFonts w:ascii="宋体" w:hAnsi="宋体"/>
                <w:color w:val="000000" w:themeColor="text1"/>
                <w14:textFill>
                  <w14:solidFill>
                    <w14:schemeClr w14:val="tx1"/>
                  </w14:solidFill>
                </w14:textFill>
              </w:rPr>
            </w:pPr>
          </w:p>
        </w:tc>
        <w:tc>
          <w:tcPr>
            <w:tcW w:w="1280" w:type="dxa"/>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季度</w:t>
            </w:r>
            <w:r>
              <w:rPr>
                <w:rFonts w:ascii="宋体" w:hAnsi="宋体"/>
                <w:color w:val="000000" w:themeColor="text1"/>
                <w14:textFill>
                  <w14:solidFill>
                    <w14:schemeClr w14:val="tx1"/>
                  </w14:solidFill>
                </w14:textFill>
              </w:rPr>
              <w:t>巡检服务</w:t>
            </w:r>
          </w:p>
        </w:tc>
        <w:tc>
          <w:tcPr>
            <w:tcW w:w="2109" w:type="dxa"/>
            <w:shd w:val="clear" w:color="auto" w:fill="auto"/>
            <w:vAlign w:val="center"/>
          </w:tcPr>
          <w:p>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季度巡检</w:t>
            </w:r>
            <w:r>
              <w:rPr>
                <w:rFonts w:hint="eastAsia" w:ascii="宋体" w:hAnsi="宋体"/>
                <w:color w:val="000000" w:themeColor="text1"/>
                <w14:textFill>
                  <w14:solidFill>
                    <w14:schemeClr w14:val="tx1"/>
                  </w14:solidFill>
                </w14:textFill>
              </w:rPr>
              <w:t>报告汇总</w:t>
            </w:r>
          </w:p>
        </w:tc>
        <w:tc>
          <w:tcPr>
            <w:tcW w:w="706" w:type="dxa"/>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w:t>
            </w:r>
            <w:r>
              <w:rPr>
                <w:rFonts w:ascii="宋体" w:hAnsi="宋体"/>
                <w:color w:val="000000" w:themeColor="text1"/>
                <w14:textFill>
                  <w14:solidFill>
                    <w14:schemeClr w14:val="tx1"/>
                  </w14:solidFill>
                </w14:textFill>
              </w:rPr>
              <w:t>%</w:t>
            </w:r>
          </w:p>
        </w:tc>
        <w:tc>
          <w:tcPr>
            <w:tcW w:w="696" w:type="dxa"/>
            <w:vMerge w:val="continue"/>
            <w:shd w:val="clear" w:color="auto" w:fill="auto"/>
            <w:vAlign w:val="center"/>
          </w:tcPr>
          <w:p>
            <w:pPr>
              <w:jc w:val="center"/>
              <w:rPr>
                <w:rFonts w:ascii="宋体" w:hAnsi="宋体"/>
                <w:color w:val="000000" w:themeColor="text1"/>
                <w14:textFill>
                  <w14:solidFill>
                    <w14:schemeClr w14:val="tx1"/>
                  </w14:solidFill>
                </w14:textFill>
              </w:rPr>
            </w:pPr>
          </w:p>
        </w:tc>
        <w:tc>
          <w:tcPr>
            <w:tcW w:w="1236" w:type="dxa"/>
            <w:shd w:val="clear" w:color="auto" w:fill="auto"/>
            <w:vAlign w:val="center"/>
          </w:tcPr>
          <w:p>
            <w:pPr>
              <w:jc w:val="center"/>
              <w:rPr>
                <w:rFonts w:ascii="宋体" w:hAnsi="宋体"/>
                <w:color w:val="000000" w:themeColor="text1"/>
                <w14:textFill>
                  <w14:solidFill>
                    <w14:schemeClr w14:val="tx1"/>
                  </w14:solidFill>
                </w14:textFill>
              </w:rPr>
            </w:pPr>
          </w:p>
        </w:tc>
        <w:tc>
          <w:tcPr>
            <w:tcW w:w="1015" w:type="dxa"/>
            <w:vMerge w:val="continue"/>
            <w:shd w:val="clear" w:color="auto" w:fill="auto"/>
          </w:tcPr>
          <w:p>
            <w:pPr>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254" w:type="dxa"/>
            <w:vMerge w:val="restart"/>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故障处理</w:t>
            </w:r>
          </w:p>
        </w:tc>
        <w:tc>
          <w:tcPr>
            <w:tcW w:w="1280" w:type="dxa"/>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硬件故障</w:t>
            </w:r>
          </w:p>
        </w:tc>
        <w:tc>
          <w:tcPr>
            <w:tcW w:w="2109" w:type="dxa"/>
            <w:vMerge w:val="restart"/>
            <w:shd w:val="clear" w:color="auto" w:fill="auto"/>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紧急故障在15分钟内响应，技术服务工程师4小时内到达现场，常用备件（如：存储硬盘）4小时内将与技术服务工程师一起到达现场。</w:t>
            </w:r>
            <w:r>
              <w:rPr>
                <w:rFonts w:ascii="宋体" w:hAnsi="宋体"/>
                <w:color w:val="000000" w:themeColor="text1"/>
                <w14:textFill>
                  <w14:solidFill>
                    <w14:schemeClr w14:val="tx1"/>
                  </w14:solidFill>
                </w14:textFill>
              </w:rPr>
              <w:t>现场</w:t>
            </w:r>
            <w:r>
              <w:rPr>
                <w:rFonts w:hint="eastAsia" w:ascii="宋体" w:hAnsi="宋体"/>
                <w:color w:val="000000" w:themeColor="text1"/>
                <w14:textFill>
                  <w14:solidFill>
                    <w14:schemeClr w14:val="tx1"/>
                  </w14:solidFill>
                </w14:textFill>
              </w:rPr>
              <w:t>无</w:t>
            </w:r>
            <w:r>
              <w:rPr>
                <w:rFonts w:ascii="宋体" w:hAnsi="宋体"/>
                <w:color w:val="000000" w:themeColor="text1"/>
                <w14:textFill>
                  <w14:solidFill>
                    <w14:schemeClr w14:val="tx1"/>
                  </w14:solidFill>
                </w14:textFill>
              </w:rPr>
              <w:t>备件</w:t>
            </w:r>
            <w:r>
              <w:rPr>
                <w:rFonts w:hint="eastAsia" w:ascii="宋体" w:hAnsi="宋体"/>
                <w:color w:val="000000" w:themeColor="text1"/>
                <w14:textFill>
                  <w14:solidFill>
                    <w14:schemeClr w14:val="tx1"/>
                  </w14:solidFill>
                </w14:textFill>
              </w:rPr>
              <w:t>情况，</w:t>
            </w:r>
            <w:r>
              <w:rPr>
                <w:rFonts w:ascii="宋体" w:hAnsi="宋体"/>
                <w:color w:val="000000" w:themeColor="text1"/>
                <w14:textFill>
                  <w14:solidFill>
                    <w14:schemeClr w14:val="tx1"/>
                  </w14:solidFill>
                </w14:textFill>
              </w:rPr>
              <w:t>一周内</w:t>
            </w:r>
            <w:r>
              <w:rPr>
                <w:rFonts w:hint="eastAsia" w:ascii="宋体" w:hAnsi="宋体"/>
                <w:color w:val="000000" w:themeColor="text1"/>
                <w14:textFill>
                  <w14:solidFill>
                    <w14:schemeClr w14:val="tx1"/>
                  </w14:solidFill>
                </w14:textFill>
              </w:rPr>
              <w:t>完成</w:t>
            </w:r>
            <w:r>
              <w:rPr>
                <w:rFonts w:ascii="宋体" w:hAnsi="宋体"/>
                <w:color w:val="000000" w:themeColor="text1"/>
                <w14:textFill>
                  <w14:solidFill>
                    <w14:schemeClr w14:val="tx1"/>
                  </w14:solidFill>
                </w14:textFill>
              </w:rPr>
              <w:t>处理</w:t>
            </w:r>
          </w:p>
        </w:tc>
        <w:tc>
          <w:tcPr>
            <w:tcW w:w="706" w:type="dxa"/>
            <w:shd w:val="clear" w:color="auto" w:fill="auto"/>
            <w:vAlign w:val="center"/>
          </w:tcPr>
          <w:p>
            <w:pPr>
              <w:jc w:val="center"/>
              <w:rPr>
                <w:rFonts w:ascii="宋体" w:hAnsi="宋体"/>
                <w:b/>
                <w:color w:val="000000" w:themeColor="text1"/>
                <w14:textFill>
                  <w14:solidFill>
                    <w14:schemeClr w14:val="tx1"/>
                  </w14:solidFill>
                </w14:textFill>
              </w:rPr>
            </w:pPr>
            <w:r>
              <w:rPr>
                <w:rFonts w:ascii="宋体" w:hAnsi="宋体"/>
                <w:color w:val="000000" w:themeColor="text1"/>
                <w14:textFill>
                  <w14:solidFill>
                    <w14:schemeClr w14:val="tx1"/>
                  </w14:solidFill>
                </w14:textFill>
              </w:rPr>
              <w:t>20%</w:t>
            </w:r>
          </w:p>
        </w:tc>
        <w:tc>
          <w:tcPr>
            <w:tcW w:w="696" w:type="dxa"/>
            <w:vMerge w:val="restart"/>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季度</w:t>
            </w:r>
          </w:p>
        </w:tc>
        <w:tc>
          <w:tcPr>
            <w:tcW w:w="1236" w:type="dxa"/>
            <w:shd w:val="clear" w:color="auto" w:fill="auto"/>
            <w:vAlign w:val="center"/>
          </w:tcPr>
          <w:p>
            <w:pPr>
              <w:jc w:val="center"/>
              <w:rPr>
                <w:rFonts w:ascii="宋体" w:hAnsi="宋体"/>
                <w:color w:val="000000" w:themeColor="text1"/>
                <w14:textFill>
                  <w14:solidFill>
                    <w14:schemeClr w14:val="tx1"/>
                  </w14:solidFill>
                </w14:textFill>
              </w:rPr>
            </w:pPr>
          </w:p>
        </w:tc>
        <w:tc>
          <w:tcPr>
            <w:tcW w:w="1015" w:type="dxa"/>
            <w:vMerge w:val="restart"/>
            <w:shd w:val="clear" w:color="auto" w:fill="auto"/>
          </w:tcPr>
          <w:p>
            <w:pPr>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254" w:type="dxa"/>
            <w:vMerge w:val="continue"/>
            <w:shd w:val="clear" w:color="auto" w:fill="auto"/>
            <w:vAlign w:val="center"/>
          </w:tcPr>
          <w:p>
            <w:pPr>
              <w:jc w:val="center"/>
              <w:rPr>
                <w:rFonts w:ascii="宋体" w:hAnsi="宋体"/>
                <w:color w:val="000000" w:themeColor="text1"/>
                <w14:textFill>
                  <w14:solidFill>
                    <w14:schemeClr w14:val="tx1"/>
                  </w14:solidFill>
                </w14:textFill>
              </w:rPr>
            </w:pPr>
          </w:p>
        </w:tc>
        <w:tc>
          <w:tcPr>
            <w:tcW w:w="1280" w:type="dxa"/>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s="宋体"/>
                <w:color w:val="000000" w:themeColor="text1"/>
                <w:kern w:val="0"/>
                <w:sz w:val="22"/>
                <w14:textFill>
                  <w14:solidFill>
                    <w14:schemeClr w14:val="tx1"/>
                  </w14:solidFill>
                </w14:textFill>
              </w:rPr>
              <w:t>性能诊断</w:t>
            </w:r>
          </w:p>
        </w:tc>
        <w:tc>
          <w:tcPr>
            <w:tcW w:w="2109" w:type="dxa"/>
            <w:vMerge w:val="continue"/>
            <w:shd w:val="clear" w:color="auto" w:fill="auto"/>
            <w:vAlign w:val="center"/>
          </w:tcPr>
          <w:p>
            <w:pPr>
              <w:jc w:val="center"/>
              <w:rPr>
                <w:rFonts w:ascii="宋体" w:hAnsi="宋体"/>
                <w:color w:val="000000" w:themeColor="text1"/>
                <w14:textFill>
                  <w14:solidFill>
                    <w14:schemeClr w14:val="tx1"/>
                  </w14:solidFill>
                </w14:textFill>
              </w:rPr>
            </w:pPr>
          </w:p>
        </w:tc>
        <w:tc>
          <w:tcPr>
            <w:tcW w:w="706" w:type="dxa"/>
            <w:shd w:val="clear" w:color="auto" w:fill="auto"/>
            <w:vAlign w:val="center"/>
          </w:tcPr>
          <w:p>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15%</w:t>
            </w:r>
          </w:p>
        </w:tc>
        <w:tc>
          <w:tcPr>
            <w:tcW w:w="696" w:type="dxa"/>
            <w:vMerge w:val="continue"/>
            <w:shd w:val="clear" w:color="auto" w:fill="auto"/>
            <w:vAlign w:val="center"/>
          </w:tcPr>
          <w:p>
            <w:pPr>
              <w:jc w:val="center"/>
              <w:rPr>
                <w:rFonts w:ascii="宋体" w:hAnsi="宋体"/>
                <w:color w:val="000000" w:themeColor="text1"/>
                <w14:textFill>
                  <w14:solidFill>
                    <w14:schemeClr w14:val="tx1"/>
                  </w14:solidFill>
                </w14:textFill>
              </w:rPr>
            </w:pPr>
          </w:p>
        </w:tc>
        <w:tc>
          <w:tcPr>
            <w:tcW w:w="1236" w:type="dxa"/>
            <w:shd w:val="clear" w:color="auto" w:fill="auto"/>
            <w:vAlign w:val="center"/>
          </w:tcPr>
          <w:p>
            <w:pPr>
              <w:jc w:val="center"/>
              <w:rPr>
                <w:rFonts w:ascii="宋体" w:hAnsi="宋体"/>
                <w:color w:val="000000" w:themeColor="text1"/>
                <w14:textFill>
                  <w14:solidFill>
                    <w14:schemeClr w14:val="tx1"/>
                  </w14:solidFill>
                </w14:textFill>
              </w:rPr>
            </w:pPr>
          </w:p>
        </w:tc>
        <w:tc>
          <w:tcPr>
            <w:tcW w:w="1015" w:type="dxa"/>
            <w:vMerge w:val="continue"/>
            <w:shd w:val="clear" w:color="auto" w:fill="auto"/>
          </w:tcPr>
          <w:p>
            <w:pPr>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Merge w:val="continue"/>
            <w:shd w:val="clear" w:color="auto" w:fill="auto"/>
            <w:vAlign w:val="center"/>
          </w:tcPr>
          <w:p>
            <w:pPr>
              <w:jc w:val="center"/>
              <w:rPr>
                <w:rFonts w:ascii="宋体" w:hAnsi="宋体"/>
                <w:color w:val="000000" w:themeColor="text1"/>
                <w14:textFill>
                  <w14:solidFill>
                    <w14:schemeClr w14:val="tx1"/>
                  </w14:solidFill>
                </w14:textFill>
              </w:rPr>
            </w:pPr>
          </w:p>
        </w:tc>
        <w:tc>
          <w:tcPr>
            <w:tcW w:w="1280" w:type="dxa"/>
            <w:shd w:val="clear" w:color="auto" w:fill="auto"/>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设备微码升级及已知bug处理</w:t>
            </w:r>
          </w:p>
        </w:tc>
        <w:tc>
          <w:tcPr>
            <w:tcW w:w="2109" w:type="dxa"/>
            <w:vMerge w:val="continue"/>
            <w:shd w:val="clear" w:color="auto" w:fill="auto"/>
            <w:vAlign w:val="center"/>
          </w:tcPr>
          <w:p>
            <w:pPr>
              <w:jc w:val="center"/>
              <w:rPr>
                <w:rFonts w:ascii="宋体" w:hAnsi="宋体"/>
                <w:color w:val="000000" w:themeColor="text1"/>
                <w14:textFill>
                  <w14:solidFill>
                    <w14:schemeClr w14:val="tx1"/>
                  </w14:solidFill>
                </w14:textFill>
              </w:rPr>
            </w:pPr>
          </w:p>
        </w:tc>
        <w:tc>
          <w:tcPr>
            <w:tcW w:w="706" w:type="dxa"/>
            <w:shd w:val="clear" w:color="auto" w:fill="auto"/>
            <w:vAlign w:val="center"/>
          </w:tcPr>
          <w:p>
            <w:pPr>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15%</w:t>
            </w:r>
          </w:p>
        </w:tc>
        <w:tc>
          <w:tcPr>
            <w:tcW w:w="696" w:type="dxa"/>
            <w:vMerge w:val="continue"/>
            <w:shd w:val="clear" w:color="auto" w:fill="auto"/>
            <w:vAlign w:val="center"/>
          </w:tcPr>
          <w:p>
            <w:pPr>
              <w:jc w:val="center"/>
              <w:rPr>
                <w:rFonts w:ascii="宋体" w:hAnsi="宋体"/>
                <w:color w:val="000000" w:themeColor="text1"/>
                <w14:textFill>
                  <w14:solidFill>
                    <w14:schemeClr w14:val="tx1"/>
                  </w14:solidFill>
                </w14:textFill>
              </w:rPr>
            </w:pPr>
          </w:p>
        </w:tc>
        <w:tc>
          <w:tcPr>
            <w:tcW w:w="1236" w:type="dxa"/>
            <w:shd w:val="clear" w:color="auto" w:fill="auto"/>
            <w:vAlign w:val="center"/>
          </w:tcPr>
          <w:p>
            <w:pPr>
              <w:jc w:val="center"/>
              <w:rPr>
                <w:rFonts w:ascii="宋体" w:hAnsi="宋体"/>
                <w:color w:val="000000" w:themeColor="text1"/>
                <w14:textFill>
                  <w14:solidFill>
                    <w14:schemeClr w14:val="tx1"/>
                  </w14:solidFill>
                </w14:textFill>
              </w:rPr>
            </w:pPr>
          </w:p>
        </w:tc>
        <w:tc>
          <w:tcPr>
            <w:tcW w:w="1015" w:type="dxa"/>
            <w:vMerge w:val="continue"/>
            <w:shd w:val="clear" w:color="auto" w:fill="auto"/>
          </w:tcPr>
          <w:p>
            <w:pPr>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Merge w:val="restart"/>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技术</w:t>
            </w:r>
            <w:r>
              <w:rPr>
                <w:rFonts w:ascii="宋体" w:hAnsi="宋体"/>
                <w:color w:val="000000" w:themeColor="text1"/>
                <w14:textFill>
                  <w14:solidFill>
                    <w14:schemeClr w14:val="tx1"/>
                  </w14:solidFill>
                </w14:textFill>
              </w:rPr>
              <w:t>支持</w:t>
            </w:r>
          </w:p>
        </w:tc>
        <w:tc>
          <w:tcPr>
            <w:tcW w:w="1280" w:type="dxa"/>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现场</w:t>
            </w:r>
            <w:r>
              <w:rPr>
                <w:rFonts w:ascii="宋体" w:hAnsi="宋体"/>
                <w:color w:val="000000" w:themeColor="text1"/>
                <w14:textFill>
                  <w14:solidFill>
                    <w14:schemeClr w14:val="tx1"/>
                  </w14:solidFill>
                </w14:textFill>
              </w:rPr>
              <w:t>技术支持</w:t>
            </w:r>
          </w:p>
        </w:tc>
        <w:tc>
          <w:tcPr>
            <w:tcW w:w="2109" w:type="dxa"/>
            <w:shd w:val="clear" w:color="auto" w:fill="auto"/>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提供存储资源分配、存储容灾配置日常运维服务及性能、配置信息收集</w:t>
            </w:r>
          </w:p>
        </w:tc>
        <w:tc>
          <w:tcPr>
            <w:tcW w:w="706" w:type="dxa"/>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w:t>
            </w:r>
            <w:r>
              <w:rPr>
                <w:rFonts w:ascii="宋体" w:hAnsi="宋体"/>
                <w:color w:val="000000" w:themeColor="text1"/>
                <w14:textFill>
                  <w14:solidFill>
                    <w14:schemeClr w14:val="tx1"/>
                  </w14:solidFill>
                </w14:textFill>
              </w:rPr>
              <w:t>%</w:t>
            </w:r>
          </w:p>
        </w:tc>
        <w:tc>
          <w:tcPr>
            <w:tcW w:w="696" w:type="dxa"/>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季度</w:t>
            </w:r>
          </w:p>
        </w:tc>
        <w:tc>
          <w:tcPr>
            <w:tcW w:w="1236" w:type="dxa"/>
            <w:shd w:val="clear" w:color="auto" w:fill="auto"/>
            <w:vAlign w:val="center"/>
          </w:tcPr>
          <w:p>
            <w:pPr>
              <w:jc w:val="center"/>
              <w:rPr>
                <w:rFonts w:ascii="宋体" w:hAnsi="宋体"/>
                <w:color w:val="000000" w:themeColor="text1"/>
                <w14:textFill>
                  <w14:solidFill>
                    <w14:schemeClr w14:val="tx1"/>
                  </w14:solidFill>
                </w14:textFill>
              </w:rPr>
            </w:pPr>
          </w:p>
        </w:tc>
        <w:tc>
          <w:tcPr>
            <w:tcW w:w="1015" w:type="dxa"/>
            <w:shd w:val="clear" w:color="auto" w:fill="auto"/>
          </w:tcPr>
          <w:p>
            <w:pPr>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vMerge w:val="continue"/>
            <w:shd w:val="clear" w:color="auto" w:fill="auto"/>
            <w:vAlign w:val="center"/>
          </w:tcPr>
          <w:p>
            <w:pPr>
              <w:jc w:val="center"/>
              <w:rPr>
                <w:rFonts w:ascii="宋体" w:hAnsi="宋体"/>
                <w:b/>
                <w:color w:val="000000" w:themeColor="text1"/>
                <w14:textFill>
                  <w14:solidFill>
                    <w14:schemeClr w14:val="tx1"/>
                  </w14:solidFill>
                </w14:textFill>
              </w:rPr>
            </w:pPr>
          </w:p>
        </w:tc>
        <w:tc>
          <w:tcPr>
            <w:tcW w:w="1280" w:type="dxa"/>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远程</w:t>
            </w:r>
            <w:r>
              <w:rPr>
                <w:rFonts w:ascii="宋体" w:hAnsi="宋体"/>
                <w:color w:val="000000" w:themeColor="text1"/>
                <w14:textFill>
                  <w14:solidFill>
                    <w14:schemeClr w14:val="tx1"/>
                  </w14:solidFill>
                </w14:textFill>
              </w:rPr>
              <w:t>技术支持</w:t>
            </w:r>
          </w:p>
        </w:tc>
        <w:tc>
          <w:tcPr>
            <w:tcW w:w="2109" w:type="dxa"/>
            <w:shd w:val="clear" w:color="auto" w:fill="auto"/>
            <w:vAlign w:val="center"/>
          </w:tcPr>
          <w:p>
            <w:pPr>
              <w:rPr>
                <w:rFonts w:ascii="宋体" w:hAnsi="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提供7*24小时电话服务，提供</w:t>
            </w:r>
            <w:r>
              <w:rPr>
                <w:rFonts w:ascii="宋体" w:hAnsi="宋体" w:cs="宋体"/>
                <w:color w:val="000000" w:themeColor="text1"/>
                <w:szCs w:val="21"/>
                <w14:textFill>
                  <w14:solidFill>
                    <w14:schemeClr w14:val="tx1"/>
                  </w14:solidFill>
                </w14:textFill>
              </w:rPr>
              <w:t>远程</w:t>
            </w:r>
            <w:r>
              <w:rPr>
                <w:rFonts w:hint="eastAsia" w:ascii="宋体" w:hAnsi="宋体" w:cs="宋体"/>
                <w:color w:val="000000" w:themeColor="text1"/>
                <w:szCs w:val="21"/>
                <w14:textFill>
                  <w14:solidFill>
                    <w14:schemeClr w14:val="tx1"/>
                  </w14:solidFill>
                </w14:textFill>
              </w:rPr>
              <w:t>远程诊断及技术支持</w:t>
            </w:r>
          </w:p>
        </w:tc>
        <w:tc>
          <w:tcPr>
            <w:tcW w:w="706" w:type="dxa"/>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w:t>
            </w:r>
            <w:r>
              <w:rPr>
                <w:rFonts w:ascii="宋体" w:hAnsi="宋体"/>
                <w:color w:val="000000" w:themeColor="text1"/>
                <w14:textFill>
                  <w14:solidFill>
                    <w14:schemeClr w14:val="tx1"/>
                  </w14:solidFill>
                </w14:textFill>
              </w:rPr>
              <w:t>%</w:t>
            </w:r>
          </w:p>
        </w:tc>
        <w:tc>
          <w:tcPr>
            <w:tcW w:w="696" w:type="dxa"/>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季度</w:t>
            </w:r>
          </w:p>
        </w:tc>
        <w:tc>
          <w:tcPr>
            <w:tcW w:w="1236" w:type="dxa"/>
            <w:shd w:val="clear" w:color="auto" w:fill="auto"/>
            <w:vAlign w:val="center"/>
          </w:tcPr>
          <w:p>
            <w:pPr>
              <w:jc w:val="center"/>
              <w:rPr>
                <w:rFonts w:ascii="宋体" w:hAnsi="宋体"/>
                <w:color w:val="000000" w:themeColor="text1"/>
                <w14:textFill>
                  <w14:solidFill>
                    <w14:schemeClr w14:val="tx1"/>
                  </w14:solidFill>
                </w14:textFill>
              </w:rPr>
            </w:pPr>
          </w:p>
        </w:tc>
        <w:tc>
          <w:tcPr>
            <w:tcW w:w="1015" w:type="dxa"/>
            <w:shd w:val="clear" w:color="auto" w:fill="auto"/>
          </w:tcPr>
          <w:p>
            <w:pPr>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4" w:type="dxa"/>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现场</w:t>
            </w:r>
            <w:r>
              <w:rPr>
                <w:rFonts w:ascii="宋体" w:hAnsi="宋体"/>
                <w:color w:val="000000" w:themeColor="text1"/>
                <w14:textFill>
                  <w14:solidFill>
                    <w14:schemeClr w14:val="tx1"/>
                  </w14:solidFill>
                </w14:textFill>
              </w:rPr>
              <w:t>备件</w:t>
            </w:r>
          </w:p>
        </w:tc>
        <w:tc>
          <w:tcPr>
            <w:tcW w:w="1280" w:type="dxa"/>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现场</w:t>
            </w:r>
            <w:r>
              <w:rPr>
                <w:rFonts w:ascii="宋体" w:hAnsi="宋体"/>
                <w:color w:val="000000" w:themeColor="text1"/>
                <w14:textFill>
                  <w14:solidFill>
                    <w14:schemeClr w14:val="tx1"/>
                  </w14:solidFill>
                </w14:textFill>
              </w:rPr>
              <w:t>备件</w:t>
            </w:r>
          </w:p>
        </w:tc>
        <w:tc>
          <w:tcPr>
            <w:tcW w:w="2109" w:type="dxa"/>
            <w:shd w:val="clear" w:color="auto" w:fill="auto"/>
            <w:vAlign w:val="center"/>
          </w:tcPr>
          <w:p>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提供常用</w:t>
            </w:r>
            <w:r>
              <w:rPr>
                <w:rFonts w:ascii="宋体" w:hAnsi="宋体"/>
                <w:color w:val="000000" w:themeColor="text1"/>
                <w14:textFill>
                  <w14:solidFill>
                    <w14:schemeClr w14:val="tx1"/>
                  </w14:solidFill>
                </w14:textFill>
              </w:rPr>
              <w:t>现场备件，提高</w:t>
            </w:r>
            <w:r>
              <w:rPr>
                <w:rFonts w:hint="eastAsia" w:ascii="宋体" w:hAnsi="宋体"/>
                <w:color w:val="000000" w:themeColor="text1"/>
                <w14:textFill>
                  <w14:solidFill>
                    <w14:schemeClr w14:val="tx1"/>
                  </w14:solidFill>
                </w14:textFill>
              </w:rPr>
              <w:t>维修</w:t>
            </w:r>
            <w:r>
              <w:rPr>
                <w:rFonts w:ascii="宋体" w:hAnsi="宋体"/>
                <w:color w:val="000000" w:themeColor="text1"/>
                <w14:textFill>
                  <w14:solidFill>
                    <w14:schemeClr w14:val="tx1"/>
                  </w14:solidFill>
                </w14:textFill>
              </w:rPr>
              <w:t>效率</w:t>
            </w:r>
          </w:p>
        </w:tc>
        <w:tc>
          <w:tcPr>
            <w:tcW w:w="706" w:type="dxa"/>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w:t>
            </w:r>
            <w:r>
              <w:rPr>
                <w:rFonts w:ascii="宋体" w:hAnsi="宋体"/>
                <w:color w:val="000000" w:themeColor="text1"/>
                <w14:textFill>
                  <w14:solidFill>
                    <w14:schemeClr w14:val="tx1"/>
                  </w14:solidFill>
                </w14:textFill>
              </w:rPr>
              <w:t>%</w:t>
            </w:r>
          </w:p>
        </w:tc>
        <w:tc>
          <w:tcPr>
            <w:tcW w:w="696" w:type="dxa"/>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季度</w:t>
            </w:r>
          </w:p>
        </w:tc>
        <w:tc>
          <w:tcPr>
            <w:tcW w:w="1236" w:type="dxa"/>
            <w:shd w:val="clear" w:color="auto" w:fill="auto"/>
            <w:vAlign w:val="center"/>
          </w:tcPr>
          <w:p>
            <w:pPr>
              <w:jc w:val="center"/>
              <w:rPr>
                <w:rFonts w:ascii="宋体" w:hAnsi="宋体"/>
                <w:color w:val="000000" w:themeColor="text1"/>
                <w14:textFill>
                  <w14:solidFill>
                    <w14:schemeClr w14:val="tx1"/>
                  </w14:solidFill>
                </w14:textFill>
              </w:rPr>
            </w:pPr>
          </w:p>
        </w:tc>
        <w:tc>
          <w:tcPr>
            <w:tcW w:w="1015" w:type="dxa"/>
            <w:shd w:val="clear" w:color="auto" w:fill="auto"/>
          </w:tcPr>
          <w:p>
            <w:pPr>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3" w:type="dxa"/>
            <w:gridSpan w:val="3"/>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维保</w:t>
            </w:r>
            <w:r>
              <w:rPr>
                <w:rFonts w:ascii="宋体" w:hAnsi="宋体"/>
                <w:color w:val="000000" w:themeColor="text1"/>
                <w14:textFill>
                  <w14:solidFill>
                    <w14:schemeClr w14:val="tx1"/>
                  </w14:solidFill>
                </w14:textFill>
              </w:rPr>
              <w:t>服务完成情况</w:t>
            </w:r>
            <w:r>
              <w:rPr>
                <w:rFonts w:hint="eastAsia" w:ascii="宋体" w:hAnsi="宋体"/>
                <w:color w:val="000000" w:themeColor="text1"/>
                <w14:textFill>
                  <w14:solidFill>
                    <w14:schemeClr w14:val="tx1"/>
                  </w14:solidFill>
                </w14:textFill>
              </w:rPr>
              <w:t>（权重</w:t>
            </w:r>
            <w:r>
              <w:rPr>
                <w:rFonts w:ascii="宋体" w:hAnsi="宋体"/>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w:t>
            </w:r>
          </w:p>
        </w:tc>
        <w:tc>
          <w:tcPr>
            <w:tcW w:w="3653" w:type="dxa"/>
            <w:gridSpan w:val="4"/>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00</w:t>
            </w:r>
            <w:r>
              <w:rPr>
                <w:rFonts w:hint="eastAsia" w:ascii="宋体" w:hAnsi="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3" w:type="dxa"/>
            <w:gridSpan w:val="3"/>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维保服务</w:t>
            </w:r>
            <w:r>
              <w:rPr>
                <w:rFonts w:ascii="宋体" w:hAnsi="宋体"/>
                <w:color w:val="000000" w:themeColor="text1"/>
                <w14:textFill>
                  <w14:solidFill>
                    <w14:schemeClr w14:val="tx1"/>
                  </w14:solidFill>
                </w14:textFill>
              </w:rPr>
              <w:t>完成质量</w:t>
            </w:r>
            <w:r>
              <w:rPr>
                <w:rFonts w:hint="eastAsia" w:ascii="宋体" w:hAnsi="宋体"/>
                <w:color w:val="000000" w:themeColor="text1"/>
                <w14:textFill>
                  <w14:solidFill>
                    <w14:schemeClr w14:val="tx1"/>
                  </w14:solidFill>
                </w14:textFill>
              </w:rPr>
              <w:t>评估</w:t>
            </w:r>
          </w:p>
        </w:tc>
        <w:tc>
          <w:tcPr>
            <w:tcW w:w="3653" w:type="dxa"/>
            <w:gridSpan w:val="4"/>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优秀/优良/良好/较差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4643" w:type="dxa"/>
            <w:gridSpan w:val="3"/>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甲方</w:t>
            </w:r>
            <w:r>
              <w:rPr>
                <w:rFonts w:ascii="宋体" w:hAnsi="宋体"/>
                <w:color w:val="000000" w:themeColor="text1"/>
                <w14:textFill>
                  <w14:solidFill>
                    <w14:schemeClr w14:val="tx1"/>
                  </w14:solidFill>
                </w14:textFill>
              </w:rPr>
              <w:t>人员</w:t>
            </w:r>
            <w:r>
              <w:rPr>
                <w:rFonts w:hint="eastAsia" w:ascii="宋体" w:hAnsi="宋体"/>
                <w:color w:val="000000" w:themeColor="text1"/>
                <w14:textFill>
                  <w14:solidFill>
                    <w14:schemeClr w14:val="tx1"/>
                  </w14:solidFill>
                </w14:textFill>
              </w:rPr>
              <w:t>意见、</w:t>
            </w:r>
            <w:r>
              <w:rPr>
                <w:rFonts w:ascii="宋体" w:hAnsi="宋体"/>
                <w:color w:val="000000" w:themeColor="text1"/>
                <w14:textFill>
                  <w14:solidFill>
                    <w14:schemeClr w14:val="tx1"/>
                  </w14:solidFill>
                </w14:textFill>
              </w:rPr>
              <w:t>签字</w:t>
            </w:r>
          </w:p>
        </w:tc>
        <w:tc>
          <w:tcPr>
            <w:tcW w:w="3653" w:type="dxa"/>
            <w:gridSpan w:val="4"/>
            <w:shd w:val="clear" w:color="auto" w:fill="auto"/>
            <w:vAlign w:val="center"/>
          </w:tcPr>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p>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签字</w:t>
            </w:r>
            <w:r>
              <w:rPr>
                <w:rFonts w:ascii="宋体" w:hAnsi="宋体"/>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4643" w:type="dxa"/>
            <w:gridSpan w:val="3"/>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乙方</w:t>
            </w:r>
            <w:r>
              <w:rPr>
                <w:rFonts w:ascii="宋体" w:hAnsi="宋体"/>
                <w:color w:val="000000" w:themeColor="text1"/>
                <w14:textFill>
                  <w14:solidFill>
                    <w14:schemeClr w14:val="tx1"/>
                  </w14:solidFill>
                </w14:textFill>
              </w:rPr>
              <w:t>工程师</w:t>
            </w:r>
            <w:r>
              <w:rPr>
                <w:rFonts w:hint="eastAsia" w:ascii="宋体" w:hAnsi="宋体"/>
                <w:color w:val="000000" w:themeColor="text1"/>
                <w14:textFill>
                  <w14:solidFill>
                    <w14:schemeClr w14:val="tx1"/>
                  </w14:solidFill>
                </w14:textFill>
              </w:rPr>
              <w:t>签字</w:t>
            </w:r>
          </w:p>
        </w:tc>
        <w:tc>
          <w:tcPr>
            <w:tcW w:w="3653" w:type="dxa"/>
            <w:gridSpan w:val="4"/>
            <w:shd w:val="clear" w:color="auto" w:fill="auto"/>
            <w:vAlign w:val="center"/>
          </w:tcPr>
          <w:p>
            <w:pPr>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643" w:type="dxa"/>
            <w:gridSpan w:val="3"/>
            <w:shd w:val="clear" w:color="auto" w:fill="auto"/>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日期</w:t>
            </w:r>
          </w:p>
        </w:tc>
        <w:tc>
          <w:tcPr>
            <w:tcW w:w="3653" w:type="dxa"/>
            <w:gridSpan w:val="4"/>
            <w:shd w:val="clear" w:color="auto" w:fill="auto"/>
            <w:vAlign w:val="center"/>
          </w:tcPr>
          <w:p>
            <w:pPr>
              <w:jc w:val="center"/>
              <w:rPr>
                <w:rFonts w:ascii="宋体" w:hAnsi="宋体"/>
                <w:color w:val="000000" w:themeColor="text1"/>
                <w14:textFill>
                  <w14:solidFill>
                    <w14:schemeClr w14:val="tx1"/>
                  </w14:solidFill>
                </w14:textFill>
              </w:rPr>
            </w:pPr>
          </w:p>
        </w:tc>
      </w:tr>
    </w:tbl>
    <w:p>
      <w:pPr>
        <w:rPr>
          <w:sz w:val="28"/>
          <w:szCs w:val="28"/>
        </w:rPr>
      </w:pPr>
    </w:p>
    <w:sectPr>
      <w:headerReference r:id="rId3" w:type="default"/>
      <w:pgSz w:w="11906" w:h="16838"/>
      <w:pgMar w:top="1134" w:right="1134" w:bottom="1134" w:left="113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9020A"/>
    <w:multiLevelType w:val="multilevel"/>
    <w:tmpl w:val="20C9020A"/>
    <w:lvl w:ilvl="0" w:tentative="0">
      <w:start w:val="1"/>
      <w:numFmt w:val="japaneseCounting"/>
      <w:lvlText w:val="%1、"/>
      <w:lvlJc w:val="left"/>
      <w:pPr>
        <w:tabs>
          <w:tab w:val="left" w:pos="720"/>
        </w:tabs>
        <w:ind w:left="720" w:hanging="720"/>
      </w:pPr>
      <w:rPr>
        <w:rFonts w:hint="default"/>
        <w:b w:val="0"/>
        <w:color w:val="auto"/>
        <w:sz w:val="28"/>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1B85782"/>
    <w:multiLevelType w:val="multilevel"/>
    <w:tmpl w:val="51B8578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4CD"/>
    <w:rsid w:val="0003694F"/>
    <w:rsid w:val="00056AE8"/>
    <w:rsid w:val="0009409C"/>
    <w:rsid w:val="000A6E92"/>
    <w:rsid w:val="000C39DA"/>
    <w:rsid w:val="00105F29"/>
    <w:rsid w:val="00176753"/>
    <w:rsid w:val="001A6724"/>
    <w:rsid w:val="001C5DEA"/>
    <w:rsid w:val="001E45DE"/>
    <w:rsid w:val="00225829"/>
    <w:rsid w:val="00231B45"/>
    <w:rsid w:val="00277D4A"/>
    <w:rsid w:val="00281FB8"/>
    <w:rsid w:val="002D4878"/>
    <w:rsid w:val="002D5D64"/>
    <w:rsid w:val="002E1AA8"/>
    <w:rsid w:val="0030353A"/>
    <w:rsid w:val="00315E99"/>
    <w:rsid w:val="003260A2"/>
    <w:rsid w:val="00364EA0"/>
    <w:rsid w:val="0039338A"/>
    <w:rsid w:val="003E6487"/>
    <w:rsid w:val="00423DA3"/>
    <w:rsid w:val="004473EE"/>
    <w:rsid w:val="004C5B3C"/>
    <w:rsid w:val="004F755A"/>
    <w:rsid w:val="00522515"/>
    <w:rsid w:val="00565443"/>
    <w:rsid w:val="005924E5"/>
    <w:rsid w:val="005C1E50"/>
    <w:rsid w:val="005E5D64"/>
    <w:rsid w:val="005F362A"/>
    <w:rsid w:val="00663A7C"/>
    <w:rsid w:val="00683E32"/>
    <w:rsid w:val="006B5D0A"/>
    <w:rsid w:val="006D20C7"/>
    <w:rsid w:val="00710425"/>
    <w:rsid w:val="0073628E"/>
    <w:rsid w:val="007A2311"/>
    <w:rsid w:val="008668A4"/>
    <w:rsid w:val="008A2700"/>
    <w:rsid w:val="008E16B4"/>
    <w:rsid w:val="00916524"/>
    <w:rsid w:val="009419F4"/>
    <w:rsid w:val="00946046"/>
    <w:rsid w:val="009C6284"/>
    <w:rsid w:val="009E3B2A"/>
    <w:rsid w:val="009F3CF4"/>
    <w:rsid w:val="00A018C9"/>
    <w:rsid w:val="00A11B3B"/>
    <w:rsid w:val="00A27EA2"/>
    <w:rsid w:val="00A65B98"/>
    <w:rsid w:val="00B52FD1"/>
    <w:rsid w:val="00B67493"/>
    <w:rsid w:val="00B774D8"/>
    <w:rsid w:val="00B81B2F"/>
    <w:rsid w:val="00B81D92"/>
    <w:rsid w:val="00B87FCE"/>
    <w:rsid w:val="00BB6532"/>
    <w:rsid w:val="00BC69FC"/>
    <w:rsid w:val="00BF342A"/>
    <w:rsid w:val="00BF6841"/>
    <w:rsid w:val="00C24A6F"/>
    <w:rsid w:val="00C40A98"/>
    <w:rsid w:val="00C524CD"/>
    <w:rsid w:val="00C6063B"/>
    <w:rsid w:val="00C92FB5"/>
    <w:rsid w:val="00CA47A6"/>
    <w:rsid w:val="00D10154"/>
    <w:rsid w:val="00D35D84"/>
    <w:rsid w:val="00D731FC"/>
    <w:rsid w:val="00D732D2"/>
    <w:rsid w:val="00DC3FFE"/>
    <w:rsid w:val="00DC6F8C"/>
    <w:rsid w:val="00DD3AB8"/>
    <w:rsid w:val="00E0640F"/>
    <w:rsid w:val="00E2424F"/>
    <w:rsid w:val="00E316B2"/>
    <w:rsid w:val="00E3410F"/>
    <w:rsid w:val="00E36940"/>
    <w:rsid w:val="00E83BAE"/>
    <w:rsid w:val="00F144C7"/>
    <w:rsid w:val="00F2307B"/>
    <w:rsid w:val="00F73D1A"/>
    <w:rsid w:val="00F90963"/>
    <w:rsid w:val="01FA33A2"/>
    <w:rsid w:val="0AFC3DAB"/>
    <w:rsid w:val="0D8E6483"/>
    <w:rsid w:val="10CA132C"/>
    <w:rsid w:val="14677F77"/>
    <w:rsid w:val="1CED3EF5"/>
    <w:rsid w:val="37F22901"/>
    <w:rsid w:val="4E6851A2"/>
    <w:rsid w:val="587F23BA"/>
    <w:rsid w:val="63122615"/>
    <w:rsid w:val="69D23ABC"/>
    <w:rsid w:val="6D0F6A1C"/>
    <w:rsid w:val="70066BBD"/>
    <w:rsid w:val="70AB0B69"/>
    <w:rsid w:val="72B43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0"/>
    <w:pPr>
      <w:keepNext/>
      <w:outlineLvl w:val="0"/>
    </w:pPr>
    <w:rPr>
      <w:rFonts w:ascii="宋体" w:hAnsi="Times New Roman" w:eastAsia="宋体" w:cs="Times New Roman"/>
      <w:b/>
      <w:color w:val="000000"/>
      <w:sz w:val="24"/>
      <w:szCs w:val="20"/>
    </w:rPr>
  </w:style>
  <w:style w:type="paragraph" w:styleId="3">
    <w:name w:val="heading 2"/>
    <w:basedOn w:val="1"/>
    <w:next w:val="1"/>
    <w:link w:val="30"/>
    <w:qFormat/>
    <w:uiPriority w:val="0"/>
    <w:pPr>
      <w:keepNext/>
      <w:outlineLvl w:val="1"/>
    </w:pPr>
    <w:rPr>
      <w:rFonts w:ascii="幼圆" w:hAnsi="Times New Roman" w:eastAsia="幼圆" w:cs="Times New Roman"/>
      <w:b/>
      <w:color w:val="0000FF"/>
      <w:sz w:val="16"/>
      <w:szCs w:val="24"/>
    </w:rPr>
  </w:style>
  <w:style w:type="paragraph" w:styleId="4">
    <w:name w:val="heading 3"/>
    <w:basedOn w:val="1"/>
    <w:next w:val="1"/>
    <w:link w:val="44"/>
    <w:semiHidden/>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ind w:left="1050"/>
      <w:jc w:val="left"/>
    </w:pPr>
    <w:rPr>
      <w:rFonts w:ascii="Times New Roman" w:hAnsi="Times New Roman" w:eastAsia="宋体" w:cs="Times New Roman"/>
      <w:sz w:val="20"/>
      <w:szCs w:val="20"/>
    </w:rPr>
  </w:style>
  <w:style w:type="paragraph" w:styleId="6">
    <w:name w:val="Body Text"/>
    <w:basedOn w:val="1"/>
    <w:link w:val="34"/>
    <w:qFormat/>
    <w:uiPriority w:val="0"/>
    <w:rPr>
      <w:rFonts w:ascii="Times New Roman" w:hAnsi="Times New Roman" w:eastAsia="宋体" w:cs="Times New Roman"/>
      <w:sz w:val="24"/>
      <w:szCs w:val="24"/>
    </w:rPr>
  </w:style>
  <w:style w:type="paragraph" w:styleId="7">
    <w:name w:val="Body Text Indent"/>
    <w:basedOn w:val="1"/>
    <w:link w:val="31"/>
    <w:qFormat/>
    <w:uiPriority w:val="0"/>
    <w:pPr>
      <w:spacing w:line="360" w:lineRule="auto"/>
      <w:ind w:firstLine="540" w:firstLineChars="225"/>
    </w:pPr>
    <w:rPr>
      <w:rFonts w:ascii="Times New Roman" w:hAnsi="Times New Roman" w:eastAsia="宋体" w:cs="Times New Roman"/>
      <w:sz w:val="24"/>
      <w:szCs w:val="24"/>
    </w:rPr>
  </w:style>
  <w:style w:type="paragraph" w:styleId="8">
    <w:name w:val="toc 5"/>
    <w:basedOn w:val="1"/>
    <w:next w:val="1"/>
    <w:semiHidden/>
    <w:qFormat/>
    <w:uiPriority w:val="0"/>
    <w:pPr>
      <w:ind w:left="630"/>
      <w:jc w:val="left"/>
    </w:pPr>
    <w:rPr>
      <w:rFonts w:ascii="Times New Roman" w:hAnsi="Times New Roman" w:eastAsia="宋体" w:cs="Times New Roman"/>
      <w:sz w:val="20"/>
      <w:szCs w:val="20"/>
    </w:rPr>
  </w:style>
  <w:style w:type="paragraph" w:styleId="9">
    <w:name w:val="toc 3"/>
    <w:basedOn w:val="1"/>
    <w:next w:val="1"/>
    <w:semiHidden/>
    <w:qFormat/>
    <w:uiPriority w:val="0"/>
    <w:pPr>
      <w:ind w:left="210"/>
      <w:jc w:val="left"/>
    </w:pPr>
    <w:rPr>
      <w:rFonts w:ascii="Times New Roman" w:hAnsi="Times New Roman" w:eastAsia="宋体" w:cs="Times New Roman"/>
      <w:sz w:val="20"/>
      <w:szCs w:val="20"/>
    </w:rPr>
  </w:style>
  <w:style w:type="paragraph" w:styleId="10">
    <w:name w:val="toc 8"/>
    <w:basedOn w:val="1"/>
    <w:next w:val="1"/>
    <w:semiHidden/>
    <w:qFormat/>
    <w:uiPriority w:val="0"/>
    <w:pPr>
      <w:ind w:left="1260"/>
      <w:jc w:val="left"/>
    </w:pPr>
    <w:rPr>
      <w:rFonts w:ascii="Times New Roman" w:hAnsi="Times New Roman" w:eastAsia="宋体" w:cs="Times New Roman"/>
      <w:sz w:val="20"/>
      <w:szCs w:val="20"/>
    </w:rPr>
  </w:style>
  <w:style w:type="paragraph" w:styleId="11">
    <w:name w:val="Date"/>
    <w:basedOn w:val="1"/>
    <w:next w:val="1"/>
    <w:link w:val="35"/>
    <w:qFormat/>
    <w:uiPriority w:val="0"/>
    <w:pPr>
      <w:ind w:left="100" w:leftChars="2500"/>
    </w:pPr>
    <w:rPr>
      <w:rFonts w:ascii="Times New Roman" w:hAnsi="Times New Roman" w:eastAsia="宋体" w:cs="Times New Roman"/>
      <w:sz w:val="24"/>
      <w:szCs w:val="24"/>
    </w:rPr>
  </w:style>
  <w:style w:type="paragraph" w:styleId="12">
    <w:name w:val="Body Text Indent 2"/>
    <w:basedOn w:val="1"/>
    <w:link w:val="32"/>
    <w:qFormat/>
    <w:uiPriority w:val="0"/>
    <w:pPr>
      <w:spacing w:line="360" w:lineRule="auto"/>
      <w:ind w:left="540" w:firstLine="540" w:firstLineChars="225"/>
    </w:pPr>
    <w:rPr>
      <w:rFonts w:ascii="Times New Roman" w:hAnsi="Times New Roman" w:eastAsia="宋体" w:cs="Times New Roman"/>
      <w:sz w:val="24"/>
      <w:szCs w:val="24"/>
    </w:rPr>
  </w:style>
  <w:style w:type="paragraph" w:styleId="13">
    <w:name w:val="Balloon Text"/>
    <w:basedOn w:val="1"/>
    <w:link w:val="40"/>
    <w:qFormat/>
    <w:uiPriority w:val="0"/>
    <w:rPr>
      <w:rFonts w:ascii="Times New Roman" w:hAnsi="Times New Roman" w:eastAsia="宋体" w:cs="Times New Roman"/>
      <w:sz w:val="18"/>
      <w:szCs w:val="18"/>
    </w:rPr>
  </w:style>
  <w:style w:type="paragraph" w:styleId="14">
    <w:name w:val="footer"/>
    <w:basedOn w:val="1"/>
    <w:link w:val="37"/>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5">
    <w:name w:val="header"/>
    <w:basedOn w:val="1"/>
    <w:link w:val="36"/>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6">
    <w:name w:val="toc 1"/>
    <w:basedOn w:val="1"/>
    <w:next w:val="1"/>
    <w:semiHidden/>
    <w:qFormat/>
    <w:uiPriority w:val="0"/>
    <w:pPr>
      <w:spacing w:before="360"/>
      <w:jc w:val="left"/>
    </w:pPr>
    <w:rPr>
      <w:rFonts w:ascii="Arial" w:hAnsi="Arial" w:eastAsia="宋体" w:cs="Arial"/>
      <w:b/>
      <w:bCs/>
      <w:caps/>
      <w:sz w:val="24"/>
      <w:szCs w:val="24"/>
    </w:rPr>
  </w:style>
  <w:style w:type="paragraph" w:styleId="17">
    <w:name w:val="toc 4"/>
    <w:basedOn w:val="1"/>
    <w:next w:val="1"/>
    <w:semiHidden/>
    <w:qFormat/>
    <w:uiPriority w:val="0"/>
    <w:pPr>
      <w:ind w:left="420"/>
      <w:jc w:val="left"/>
    </w:pPr>
    <w:rPr>
      <w:rFonts w:ascii="Times New Roman" w:hAnsi="Times New Roman" w:eastAsia="宋体" w:cs="Times New Roman"/>
      <w:sz w:val="20"/>
      <w:szCs w:val="20"/>
    </w:rPr>
  </w:style>
  <w:style w:type="paragraph" w:styleId="18">
    <w:name w:val="toc 6"/>
    <w:basedOn w:val="1"/>
    <w:next w:val="1"/>
    <w:semiHidden/>
    <w:qFormat/>
    <w:uiPriority w:val="0"/>
    <w:pPr>
      <w:ind w:left="840"/>
      <w:jc w:val="left"/>
    </w:pPr>
    <w:rPr>
      <w:rFonts w:ascii="Times New Roman" w:hAnsi="Times New Roman" w:eastAsia="宋体" w:cs="Times New Roman"/>
      <w:sz w:val="20"/>
      <w:szCs w:val="20"/>
    </w:rPr>
  </w:style>
  <w:style w:type="paragraph" w:styleId="19">
    <w:name w:val="Body Text Indent 3"/>
    <w:basedOn w:val="1"/>
    <w:link w:val="33"/>
    <w:qFormat/>
    <w:uiPriority w:val="0"/>
    <w:pPr>
      <w:tabs>
        <w:tab w:val="left" w:pos="1800"/>
      </w:tabs>
      <w:spacing w:line="360" w:lineRule="auto"/>
      <w:ind w:left="900" w:firstLine="540" w:firstLineChars="225"/>
    </w:pPr>
    <w:rPr>
      <w:rFonts w:ascii="Times New Roman" w:hAnsi="Times New Roman" w:eastAsia="宋体" w:cs="Times New Roman"/>
      <w:sz w:val="24"/>
      <w:szCs w:val="24"/>
    </w:rPr>
  </w:style>
  <w:style w:type="paragraph" w:styleId="20">
    <w:name w:val="toc 2"/>
    <w:basedOn w:val="1"/>
    <w:next w:val="1"/>
    <w:semiHidden/>
    <w:qFormat/>
    <w:uiPriority w:val="0"/>
    <w:pPr>
      <w:spacing w:before="240"/>
      <w:jc w:val="left"/>
    </w:pPr>
    <w:rPr>
      <w:rFonts w:ascii="Times New Roman" w:hAnsi="Times New Roman" w:eastAsia="宋体" w:cs="Times New Roman"/>
      <w:b/>
      <w:bCs/>
      <w:sz w:val="20"/>
      <w:szCs w:val="20"/>
    </w:rPr>
  </w:style>
  <w:style w:type="paragraph" w:styleId="21">
    <w:name w:val="toc 9"/>
    <w:basedOn w:val="1"/>
    <w:next w:val="1"/>
    <w:semiHidden/>
    <w:qFormat/>
    <w:uiPriority w:val="0"/>
    <w:pPr>
      <w:ind w:left="1470"/>
      <w:jc w:val="left"/>
    </w:pPr>
    <w:rPr>
      <w:rFonts w:ascii="Times New Roman" w:hAnsi="Times New Roman" w:eastAsia="宋体" w:cs="Times New Roman"/>
      <w:sz w:val="20"/>
      <w:szCs w:val="20"/>
    </w:rPr>
  </w:style>
  <w:style w:type="table" w:styleId="23">
    <w:name w:val="Table Grid"/>
    <w:basedOn w:val="22"/>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qFormat/>
    <w:uiPriority w:val="0"/>
    <w:rPr>
      <w:color w:val="800080"/>
      <w:u w:val="single"/>
    </w:rPr>
  </w:style>
  <w:style w:type="character" w:styleId="28">
    <w:name w:val="Hyperlink"/>
    <w:qFormat/>
    <w:uiPriority w:val="0"/>
    <w:rPr>
      <w:color w:val="0000FF"/>
      <w:u w:val="single"/>
    </w:rPr>
  </w:style>
  <w:style w:type="character" w:customStyle="1" w:styleId="29">
    <w:name w:val="标题 1 字符"/>
    <w:basedOn w:val="24"/>
    <w:link w:val="2"/>
    <w:qFormat/>
    <w:uiPriority w:val="0"/>
    <w:rPr>
      <w:rFonts w:ascii="宋体" w:hAnsi="Times New Roman" w:eastAsia="宋体" w:cs="Times New Roman"/>
      <w:b/>
      <w:color w:val="000000"/>
      <w:sz w:val="24"/>
      <w:szCs w:val="20"/>
    </w:rPr>
  </w:style>
  <w:style w:type="character" w:customStyle="1" w:styleId="30">
    <w:name w:val="标题 2 字符"/>
    <w:basedOn w:val="24"/>
    <w:link w:val="3"/>
    <w:qFormat/>
    <w:uiPriority w:val="0"/>
    <w:rPr>
      <w:rFonts w:ascii="幼圆" w:hAnsi="Times New Roman" w:eastAsia="幼圆" w:cs="Times New Roman"/>
      <w:b/>
      <w:color w:val="0000FF"/>
      <w:sz w:val="16"/>
      <w:szCs w:val="24"/>
    </w:rPr>
  </w:style>
  <w:style w:type="character" w:customStyle="1" w:styleId="31">
    <w:name w:val="正文文本缩进 字符"/>
    <w:basedOn w:val="24"/>
    <w:link w:val="7"/>
    <w:qFormat/>
    <w:uiPriority w:val="0"/>
    <w:rPr>
      <w:rFonts w:ascii="Times New Roman" w:hAnsi="Times New Roman" w:eastAsia="宋体" w:cs="Times New Roman"/>
      <w:sz w:val="24"/>
      <w:szCs w:val="24"/>
    </w:rPr>
  </w:style>
  <w:style w:type="character" w:customStyle="1" w:styleId="32">
    <w:name w:val="正文文本缩进 2 字符"/>
    <w:basedOn w:val="24"/>
    <w:link w:val="12"/>
    <w:qFormat/>
    <w:uiPriority w:val="0"/>
    <w:rPr>
      <w:rFonts w:ascii="Times New Roman" w:hAnsi="Times New Roman" w:eastAsia="宋体" w:cs="Times New Roman"/>
      <w:sz w:val="24"/>
      <w:szCs w:val="24"/>
    </w:rPr>
  </w:style>
  <w:style w:type="character" w:customStyle="1" w:styleId="33">
    <w:name w:val="正文文本缩进 3 字符"/>
    <w:basedOn w:val="24"/>
    <w:link w:val="19"/>
    <w:qFormat/>
    <w:uiPriority w:val="0"/>
    <w:rPr>
      <w:rFonts w:ascii="Times New Roman" w:hAnsi="Times New Roman" w:eastAsia="宋体" w:cs="Times New Roman"/>
      <w:sz w:val="24"/>
      <w:szCs w:val="24"/>
    </w:rPr>
  </w:style>
  <w:style w:type="character" w:customStyle="1" w:styleId="34">
    <w:name w:val="正文文本 字符"/>
    <w:basedOn w:val="24"/>
    <w:link w:val="6"/>
    <w:qFormat/>
    <w:uiPriority w:val="0"/>
    <w:rPr>
      <w:rFonts w:ascii="Times New Roman" w:hAnsi="Times New Roman" w:eastAsia="宋体" w:cs="Times New Roman"/>
      <w:sz w:val="24"/>
      <w:szCs w:val="24"/>
    </w:rPr>
  </w:style>
  <w:style w:type="character" w:customStyle="1" w:styleId="35">
    <w:name w:val="日期 字符"/>
    <w:basedOn w:val="24"/>
    <w:link w:val="11"/>
    <w:qFormat/>
    <w:uiPriority w:val="0"/>
    <w:rPr>
      <w:rFonts w:ascii="Times New Roman" w:hAnsi="Times New Roman" w:eastAsia="宋体" w:cs="Times New Roman"/>
      <w:sz w:val="24"/>
      <w:szCs w:val="24"/>
    </w:rPr>
  </w:style>
  <w:style w:type="character" w:customStyle="1" w:styleId="36">
    <w:name w:val="页眉 字符"/>
    <w:basedOn w:val="24"/>
    <w:link w:val="15"/>
    <w:qFormat/>
    <w:uiPriority w:val="0"/>
    <w:rPr>
      <w:rFonts w:ascii="Times New Roman" w:hAnsi="Times New Roman" w:eastAsia="宋体" w:cs="Times New Roman"/>
      <w:sz w:val="18"/>
      <w:szCs w:val="18"/>
    </w:rPr>
  </w:style>
  <w:style w:type="character" w:customStyle="1" w:styleId="37">
    <w:name w:val="页脚 字符"/>
    <w:basedOn w:val="24"/>
    <w:link w:val="14"/>
    <w:uiPriority w:val="0"/>
    <w:rPr>
      <w:rFonts w:ascii="Times New Roman" w:hAnsi="Times New Roman" w:eastAsia="宋体" w:cs="Times New Roman"/>
      <w:sz w:val="18"/>
      <w:szCs w:val="18"/>
    </w:rPr>
  </w:style>
  <w:style w:type="character" w:customStyle="1" w:styleId="38">
    <w:name w:val="f141"/>
    <w:qFormat/>
    <w:uiPriority w:val="0"/>
    <w:rPr>
      <w:spacing w:val="432"/>
      <w:sz w:val="20"/>
      <w:szCs w:val="20"/>
    </w:rPr>
  </w:style>
  <w:style w:type="character" w:customStyle="1" w:styleId="39">
    <w:name w:val="t21"/>
    <w:basedOn w:val="24"/>
    <w:qFormat/>
    <w:uiPriority w:val="0"/>
  </w:style>
  <w:style w:type="character" w:customStyle="1" w:styleId="40">
    <w:name w:val="批注框文本 字符"/>
    <w:basedOn w:val="24"/>
    <w:link w:val="13"/>
    <w:qFormat/>
    <w:uiPriority w:val="0"/>
    <w:rPr>
      <w:rFonts w:ascii="Times New Roman" w:hAnsi="Times New Roman" w:eastAsia="宋体" w:cs="Times New Roman"/>
      <w:sz w:val="18"/>
      <w:szCs w:val="18"/>
    </w:rPr>
  </w:style>
  <w:style w:type="paragraph" w:styleId="41">
    <w:name w:val="List Paragraph"/>
    <w:basedOn w:val="1"/>
    <w:qFormat/>
    <w:uiPriority w:val="34"/>
    <w:pPr>
      <w:ind w:firstLine="420" w:firstLineChars="200"/>
    </w:pPr>
    <w:rPr>
      <w:rFonts w:ascii="Times New Roman" w:hAnsi="Times New Roman" w:eastAsia="宋体" w:cs="Times New Roman"/>
      <w:szCs w:val="24"/>
    </w:rPr>
  </w:style>
  <w:style w:type="paragraph" w:customStyle="1" w:styleId="42">
    <w:name w:val="tytytyty"/>
    <w:basedOn w:val="1"/>
    <w:link w:val="43"/>
    <w:qFormat/>
    <w:uiPriority w:val="0"/>
    <w:pPr>
      <w:spacing w:line="360" w:lineRule="auto"/>
      <w:ind w:left="359" w:leftChars="171" w:firstLine="480" w:firstLineChars="200"/>
    </w:pPr>
    <w:rPr>
      <w:rFonts w:ascii="Times New Roman" w:hAnsi="Times New Roman" w:eastAsia="宋体" w:cs="Times New Roman"/>
      <w:sz w:val="24"/>
      <w:szCs w:val="24"/>
      <w:lang w:val="zh-CN" w:eastAsia="zh-CN"/>
    </w:rPr>
  </w:style>
  <w:style w:type="character" w:customStyle="1" w:styleId="43">
    <w:name w:val="tytytyty Char1"/>
    <w:link w:val="42"/>
    <w:uiPriority w:val="0"/>
    <w:rPr>
      <w:rFonts w:ascii="Times New Roman" w:hAnsi="Times New Roman" w:eastAsia="宋体" w:cs="Times New Roman"/>
      <w:sz w:val="24"/>
      <w:szCs w:val="24"/>
      <w:lang w:val="zh-CN" w:eastAsia="zh-CN"/>
    </w:rPr>
  </w:style>
  <w:style w:type="character" w:customStyle="1" w:styleId="44">
    <w:name w:val="标题 3 字符"/>
    <w:basedOn w:val="24"/>
    <w:link w:val="4"/>
    <w:semiHidden/>
    <w:qFormat/>
    <w:uiPriority w:val="9"/>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287</Words>
  <Characters>1641</Characters>
  <Lines>13</Lines>
  <Paragraphs>3</Paragraphs>
  <TotalTime>0</TotalTime>
  <ScaleCrop>false</ScaleCrop>
  <LinksUpToDate>false</LinksUpToDate>
  <CharactersWithSpaces>1925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2023-03-23T00:09:00Z</dcterms:created>
  <dc:creator>hui zhang</dc:creator>
  <cp:lastModifiedBy>Administrator</cp:lastModifiedBy>
  <dcterms:modified xsi:type="dcterms:W3CDTF">2025-08-13T01:06:58Z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AED4664A5FBC4E87A3F1D86790FAFB3B</vt:lpwstr>
  </property>
</Properties>
</file>