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8B20F">
      <w:pPr>
        <w:rPr>
          <w:bCs/>
          <w:color w:val="000000"/>
          <w:sz w:val="28"/>
          <w:szCs w:val="28"/>
        </w:rPr>
      </w:pPr>
      <w:bookmarkStart w:id="0" w:name="_GoBack"/>
      <w:bookmarkEnd w:id="0"/>
      <w:r>
        <w:rPr>
          <w:rFonts w:hint="eastAsia"/>
          <w:bCs/>
          <w:color w:val="000000"/>
          <w:sz w:val="28"/>
          <w:szCs w:val="28"/>
        </w:rPr>
        <w:t>招标项目：</w:t>
      </w:r>
    </w:p>
    <w:p w14:paraId="4B03B53D">
      <w:pPr>
        <w:rPr>
          <w:sz w:val="28"/>
          <w:szCs w:val="28"/>
        </w:rPr>
      </w:pPr>
      <w:r>
        <w:rPr>
          <w:rFonts w:hint="eastAsia"/>
          <w:sz w:val="28"/>
          <w:szCs w:val="28"/>
        </w:rPr>
        <w:t>招标项目编号：</w:t>
      </w:r>
    </w:p>
    <w:p w14:paraId="68108652">
      <w:pPr>
        <w:pStyle w:val="2"/>
        <w:jc w:val="both"/>
      </w:pPr>
      <w:r>
        <w:rPr>
          <w:rFonts w:hint="eastAsia"/>
          <w:b w:val="0"/>
          <w:bCs w:val="0"/>
          <w:szCs w:val="28"/>
        </w:rPr>
        <w:t>招标项目包号：</w:t>
      </w:r>
    </w:p>
    <w:p w14:paraId="375F7727">
      <w:pPr>
        <w:jc w:val="center"/>
        <w:rPr>
          <w:rFonts w:hint="eastAsia" w:ascii="宋体" w:hAnsi="宋体" w:eastAsia="宋体" w:cs="宋体"/>
          <w:b/>
          <w:sz w:val="72"/>
          <w:szCs w:val="72"/>
        </w:rPr>
      </w:pPr>
    </w:p>
    <w:p w14:paraId="1A7D365D">
      <w:pPr>
        <w:jc w:val="center"/>
        <w:rPr>
          <w:rFonts w:ascii="宋体" w:hAnsi="宋体" w:eastAsia="宋体" w:cs="宋体"/>
          <w:b/>
          <w:sz w:val="72"/>
          <w:szCs w:val="72"/>
        </w:rPr>
      </w:pPr>
      <w:r>
        <w:rPr>
          <w:rFonts w:hint="eastAsia" w:ascii="宋体" w:hAnsi="宋体" w:eastAsia="宋体" w:cs="宋体"/>
          <w:b/>
          <w:sz w:val="72"/>
          <w:szCs w:val="72"/>
        </w:rPr>
        <w:t xml:space="preserve"> </w:t>
      </w:r>
    </w:p>
    <w:p w14:paraId="76C3EE7E">
      <w:pPr>
        <w:jc w:val="center"/>
        <w:rPr>
          <w:rFonts w:ascii="宋体" w:hAnsi="宋体" w:eastAsia="宋体" w:cs="宋体"/>
          <w:b/>
          <w:sz w:val="72"/>
          <w:szCs w:val="72"/>
        </w:rPr>
      </w:pPr>
      <w:r>
        <w:rPr>
          <w:rFonts w:hint="eastAsia" w:ascii="宋体" w:hAnsi="宋体" w:eastAsia="宋体" w:cs="宋体"/>
          <w:b/>
          <w:sz w:val="72"/>
          <w:szCs w:val="72"/>
        </w:rPr>
        <w:t xml:space="preserve">招 标 采 购 合 同 </w:t>
      </w:r>
    </w:p>
    <w:p w14:paraId="7436D385">
      <w:pPr>
        <w:ind w:firstLine="1920" w:firstLineChars="600"/>
        <w:rPr>
          <w:rFonts w:ascii="宋体" w:hAnsi="宋体" w:eastAsia="宋体" w:cs="宋体"/>
          <w:bCs/>
          <w:sz w:val="32"/>
          <w:szCs w:val="32"/>
        </w:rPr>
      </w:pPr>
    </w:p>
    <w:p w14:paraId="64C0BD0A">
      <w:pPr>
        <w:ind w:firstLine="2880" w:firstLineChars="900"/>
        <w:rPr>
          <w:rFonts w:ascii="宋体" w:hAnsi="宋体" w:eastAsia="宋体" w:cs="宋体"/>
          <w:bCs/>
          <w:sz w:val="32"/>
          <w:szCs w:val="32"/>
        </w:rPr>
      </w:pPr>
      <w:r>
        <w:rPr>
          <w:rFonts w:hint="eastAsia" w:ascii="宋体" w:hAnsi="宋体" w:eastAsia="宋体" w:cs="宋体"/>
          <w:bCs/>
          <w:sz w:val="32"/>
          <w:szCs w:val="32"/>
        </w:rPr>
        <w:t>（           设备）</w:t>
      </w:r>
    </w:p>
    <w:p w14:paraId="799D202E">
      <w:pPr>
        <w:pStyle w:val="2"/>
        <w:jc w:val="both"/>
      </w:pPr>
    </w:p>
    <w:p w14:paraId="131C6272">
      <w:pPr>
        <w:rPr>
          <w:rFonts w:ascii="宋体" w:hAnsi="宋体" w:eastAsia="宋体" w:cs="宋体"/>
          <w:bCs/>
          <w:sz w:val="32"/>
          <w:szCs w:val="32"/>
        </w:rPr>
      </w:pPr>
    </w:p>
    <w:p w14:paraId="07245F11">
      <w:pPr>
        <w:rPr>
          <w:rFonts w:ascii="宋体" w:hAnsi="宋体" w:eastAsia="宋体" w:cs="宋体"/>
          <w:b/>
          <w:color w:val="000000"/>
          <w:sz w:val="24"/>
        </w:rPr>
      </w:pPr>
    </w:p>
    <w:p w14:paraId="03735D33">
      <w:pPr>
        <w:rPr>
          <w:rFonts w:ascii="宋体" w:hAnsi="宋体" w:eastAsia="宋体" w:cs="宋体"/>
          <w:b/>
          <w:color w:val="000000"/>
          <w:sz w:val="24"/>
        </w:rPr>
      </w:pPr>
    </w:p>
    <w:p w14:paraId="0F4542F3">
      <w:pPr>
        <w:rPr>
          <w:rFonts w:ascii="宋体" w:hAnsi="宋体" w:eastAsia="宋体" w:cs="宋体"/>
          <w:b/>
          <w:color w:val="000000"/>
          <w:sz w:val="24"/>
        </w:rPr>
      </w:pPr>
    </w:p>
    <w:p w14:paraId="305073C4">
      <w:pPr>
        <w:rPr>
          <w:rFonts w:ascii="宋体" w:hAnsi="宋体" w:eastAsia="宋体" w:cs="宋体"/>
          <w:b/>
          <w:sz w:val="24"/>
        </w:rPr>
      </w:pPr>
    </w:p>
    <w:p w14:paraId="6E8501E5">
      <w:pPr>
        <w:rPr>
          <w:rFonts w:ascii="宋体" w:hAnsi="宋体" w:eastAsia="宋体" w:cs="宋体"/>
          <w:b/>
          <w:color w:val="000000"/>
          <w:sz w:val="24"/>
        </w:rPr>
      </w:pPr>
    </w:p>
    <w:p w14:paraId="51AB2A80">
      <w:pPr>
        <w:rPr>
          <w:rFonts w:ascii="宋体" w:hAnsi="宋体" w:eastAsia="宋体" w:cs="宋体"/>
          <w:b/>
          <w:color w:val="000000"/>
          <w:sz w:val="24"/>
        </w:rPr>
      </w:pPr>
    </w:p>
    <w:p w14:paraId="0135DE5F">
      <w:pPr>
        <w:rPr>
          <w:rFonts w:ascii="宋体" w:hAnsi="宋体" w:eastAsia="宋体" w:cs="宋体"/>
          <w:b/>
          <w:color w:val="000000"/>
          <w:sz w:val="24"/>
        </w:rPr>
      </w:pPr>
    </w:p>
    <w:p w14:paraId="1F2BC33E">
      <w:pPr>
        <w:rPr>
          <w:rFonts w:ascii="宋体" w:hAnsi="宋体" w:eastAsia="宋体" w:cs="宋体"/>
          <w:bCs/>
          <w:color w:val="000000"/>
          <w:sz w:val="24"/>
        </w:rPr>
      </w:pPr>
    </w:p>
    <w:p w14:paraId="65015C42">
      <w:pPr>
        <w:rPr>
          <w:rFonts w:ascii="宋体" w:hAnsi="宋体" w:eastAsia="宋体" w:cs="宋体"/>
          <w:bCs/>
          <w:color w:val="000000"/>
          <w:sz w:val="24"/>
        </w:rPr>
      </w:pPr>
    </w:p>
    <w:p w14:paraId="0C9D9C3F">
      <w:pPr>
        <w:rPr>
          <w:rFonts w:ascii="宋体" w:hAnsi="宋体" w:eastAsia="宋体" w:cs="宋体"/>
          <w:bCs/>
          <w:color w:val="000000"/>
          <w:sz w:val="24"/>
        </w:rPr>
      </w:pPr>
    </w:p>
    <w:p w14:paraId="654E3DF6">
      <w:pPr>
        <w:rPr>
          <w:rFonts w:ascii="宋体" w:hAnsi="宋体" w:eastAsia="宋体" w:cs="宋体"/>
          <w:bCs/>
          <w:color w:val="000000"/>
          <w:sz w:val="24"/>
        </w:rPr>
      </w:pPr>
    </w:p>
    <w:p w14:paraId="2ABAD28D">
      <w:pPr>
        <w:rPr>
          <w:rFonts w:ascii="宋体" w:hAnsi="宋体" w:eastAsia="宋体" w:cs="宋体"/>
          <w:bCs/>
          <w:color w:val="000000"/>
          <w:sz w:val="24"/>
        </w:rPr>
      </w:pPr>
    </w:p>
    <w:p w14:paraId="7B909948">
      <w:pPr>
        <w:rPr>
          <w:rFonts w:ascii="宋体" w:hAnsi="宋体" w:eastAsia="宋体" w:cs="宋体"/>
          <w:bCs/>
          <w:color w:val="000000"/>
          <w:sz w:val="24"/>
        </w:rPr>
      </w:pPr>
    </w:p>
    <w:p w14:paraId="0683EBA8">
      <w:pPr>
        <w:rPr>
          <w:rFonts w:ascii="宋体" w:hAnsi="宋体" w:eastAsia="宋体" w:cs="宋体"/>
          <w:bCs/>
          <w:color w:val="000000"/>
          <w:sz w:val="24"/>
        </w:rPr>
      </w:pPr>
    </w:p>
    <w:p w14:paraId="5C8A4613">
      <w:pPr>
        <w:rPr>
          <w:rFonts w:ascii="宋体" w:hAnsi="宋体" w:eastAsia="宋体" w:cs="宋体"/>
          <w:bCs/>
          <w:color w:val="000000"/>
          <w:sz w:val="24"/>
        </w:rPr>
      </w:pPr>
    </w:p>
    <w:p w14:paraId="4B2CD509">
      <w:pPr>
        <w:jc w:val="center"/>
        <w:rPr>
          <w:rFonts w:ascii="宋体" w:hAnsi="宋体" w:eastAsia="宋体" w:cs="宋体"/>
          <w:bCs/>
          <w:color w:val="000000"/>
          <w:sz w:val="32"/>
          <w:szCs w:val="32"/>
        </w:rPr>
      </w:pPr>
      <w:r>
        <w:rPr>
          <w:rFonts w:hint="eastAsia" w:ascii="宋体" w:hAnsi="宋体" w:eastAsia="宋体" w:cs="宋体"/>
          <w:bCs/>
          <w:color w:val="000000"/>
          <w:sz w:val="32"/>
          <w:szCs w:val="32"/>
        </w:rPr>
        <w:t xml:space="preserve"> 甲方：海南医</w:t>
      </w:r>
      <w:r>
        <w:rPr>
          <w:rFonts w:hint="eastAsia" w:ascii="宋体" w:hAnsi="宋体" w:eastAsia="宋体" w:cs="宋体"/>
          <w:bCs/>
          <w:color w:val="000000"/>
          <w:sz w:val="32"/>
          <w:szCs w:val="32"/>
          <w:lang w:val="en-US" w:eastAsia="zh-CN"/>
        </w:rPr>
        <w:t>科大学</w:t>
      </w:r>
      <w:r>
        <w:rPr>
          <w:rFonts w:hint="eastAsia" w:ascii="宋体" w:hAnsi="宋体" w:eastAsia="宋体" w:cs="宋体"/>
          <w:bCs/>
          <w:color w:val="000000"/>
          <w:sz w:val="32"/>
          <w:szCs w:val="32"/>
        </w:rPr>
        <w:t>第二附属医院</w:t>
      </w:r>
    </w:p>
    <w:p w14:paraId="3E3A22BD">
      <w:pPr>
        <w:ind w:firstLine="1920" w:firstLineChars="600"/>
        <w:rPr>
          <w:rFonts w:hint="eastAsia" w:ascii="宋体" w:hAnsi="宋体" w:eastAsia="宋体" w:cs="宋体"/>
          <w:bCs/>
          <w:color w:val="000000"/>
          <w:sz w:val="32"/>
          <w:szCs w:val="32"/>
        </w:rPr>
      </w:pPr>
      <w:r>
        <w:rPr>
          <w:rFonts w:hint="eastAsia" w:ascii="宋体" w:hAnsi="宋体" w:eastAsia="宋体" w:cs="宋体"/>
          <w:bCs/>
          <w:color w:val="000000"/>
          <w:sz w:val="32"/>
          <w:szCs w:val="32"/>
        </w:rPr>
        <w:t>乙方：</w:t>
      </w:r>
    </w:p>
    <w:p w14:paraId="59317D6F">
      <w:pPr>
        <w:pStyle w:val="4"/>
      </w:pPr>
    </w:p>
    <w:tbl>
      <w:tblPr>
        <w:tblStyle w:val="7"/>
        <w:tblW w:w="9135"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410"/>
      </w:tblGrid>
      <w:tr w14:paraId="5B9B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08174375">
            <w:pPr>
              <w:spacing w:line="460" w:lineRule="exact"/>
              <w:rPr>
                <w:rFonts w:ascii="宋体" w:hAnsi="宋体" w:eastAsia="宋体" w:cs="宋体"/>
                <w:sz w:val="24"/>
              </w:rPr>
            </w:pPr>
            <w:r>
              <w:rPr>
                <w:rFonts w:hint="eastAsia" w:ascii="宋体" w:hAnsi="宋体" w:eastAsia="宋体" w:cs="宋体"/>
                <w:sz w:val="24"/>
              </w:rPr>
              <w:t>甲方：海南医</w:t>
            </w:r>
            <w:r>
              <w:rPr>
                <w:rFonts w:hint="eastAsia" w:ascii="宋体" w:hAnsi="宋体" w:eastAsia="宋体" w:cs="宋体"/>
                <w:sz w:val="24"/>
                <w:lang w:val="en-US" w:eastAsia="zh-CN"/>
              </w:rPr>
              <w:t>科大学</w:t>
            </w:r>
            <w:r>
              <w:rPr>
                <w:rFonts w:hint="eastAsia" w:ascii="宋体" w:hAnsi="宋体" w:eastAsia="宋体" w:cs="宋体"/>
                <w:sz w:val="24"/>
              </w:rPr>
              <w:t>第二附属医院</w:t>
            </w:r>
          </w:p>
        </w:tc>
        <w:tc>
          <w:tcPr>
            <w:tcW w:w="4410" w:type="dxa"/>
            <w:shd w:val="clear" w:color="auto" w:fill="auto"/>
          </w:tcPr>
          <w:p w14:paraId="7BBD929F">
            <w:pPr>
              <w:spacing w:line="460" w:lineRule="exact"/>
              <w:rPr>
                <w:rFonts w:ascii="宋体" w:hAnsi="宋体" w:eastAsia="宋体" w:cs="宋体"/>
                <w:sz w:val="24"/>
              </w:rPr>
            </w:pPr>
            <w:r>
              <w:rPr>
                <w:rFonts w:hint="eastAsia" w:ascii="宋体" w:hAnsi="宋体" w:eastAsia="宋体" w:cs="宋体"/>
                <w:sz w:val="24"/>
              </w:rPr>
              <w:t>乙方：</w:t>
            </w:r>
          </w:p>
        </w:tc>
      </w:tr>
      <w:tr w14:paraId="5DB5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725" w:type="dxa"/>
            <w:shd w:val="clear" w:color="auto" w:fill="auto"/>
          </w:tcPr>
          <w:p w14:paraId="3E6C4ED0">
            <w:pPr>
              <w:spacing w:line="460" w:lineRule="exact"/>
              <w:rPr>
                <w:rFonts w:ascii="宋体" w:hAnsi="宋体" w:eastAsia="宋体" w:cs="宋体"/>
                <w:sz w:val="24"/>
              </w:rPr>
            </w:pPr>
            <w:r>
              <w:rPr>
                <w:rFonts w:hint="eastAsia" w:ascii="宋体" w:hAnsi="宋体" w:eastAsia="宋体" w:cs="宋体"/>
                <w:sz w:val="24"/>
              </w:rPr>
              <w:t>地址：海南省海口市龙华区椰海大道368号</w:t>
            </w:r>
          </w:p>
        </w:tc>
        <w:tc>
          <w:tcPr>
            <w:tcW w:w="4410" w:type="dxa"/>
            <w:shd w:val="clear" w:color="auto" w:fill="auto"/>
          </w:tcPr>
          <w:p w14:paraId="2832B23D">
            <w:pPr>
              <w:spacing w:line="460" w:lineRule="exact"/>
              <w:ind w:left="720" w:hanging="720" w:hangingChars="300"/>
              <w:rPr>
                <w:rFonts w:ascii="宋体" w:hAnsi="宋体" w:eastAsia="宋体" w:cs="宋体"/>
                <w:sz w:val="24"/>
              </w:rPr>
            </w:pPr>
            <w:r>
              <w:rPr>
                <w:rFonts w:hint="eastAsia" w:ascii="宋体" w:hAnsi="宋体" w:eastAsia="宋体" w:cs="宋体"/>
                <w:sz w:val="24"/>
              </w:rPr>
              <w:t>地址：</w:t>
            </w:r>
          </w:p>
        </w:tc>
      </w:tr>
      <w:tr w14:paraId="1489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341AD935">
            <w:pPr>
              <w:spacing w:line="460" w:lineRule="exact"/>
              <w:rPr>
                <w:rFonts w:hint="eastAsia" w:ascii="宋体" w:hAnsi="宋体" w:eastAsia="宋体" w:cs="宋体"/>
                <w:sz w:val="24"/>
                <w:lang w:val="en-US" w:eastAsia="zh-CN"/>
              </w:rPr>
            </w:pPr>
            <w:r>
              <w:rPr>
                <w:rFonts w:hint="eastAsia" w:ascii="宋体" w:hAnsi="宋体" w:eastAsia="宋体" w:cs="宋体"/>
                <w:sz w:val="24"/>
              </w:rPr>
              <w:t>法定代表人：</w:t>
            </w:r>
            <w:r>
              <w:rPr>
                <w:rFonts w:hint="eastAsia" w:ascii="宋体" w:hAnsi="宋体" w:eastAsia="宋体" w:cs="宋体"/>
                <w:sz w:val="24"/>
                <w:lang w:val="en-US" w:eastAsia="zh-CN"/>
              </w:rPr>
              <w:t>王 毅</w:t>
            </w:r>
          </w:p>
        </w:tc>
        <w:tc>
          <w:tcPr>
            <w:tcW w:w="4410" w:type="dxa"/>
            <w:shd w:val="clear" w:color="auto" w:fill="auto"/>
          </w:tcPr>
          <w:p w14:paraId="11A2CCED">
            <w:pPr>
              <w:spacing w:line="460" w:lineRule="exact"/>
              <w:rPr>
                <w:rFonts w:ascii="宋体" w:hAnsi="宋体" w:eastAsia="宋体" w:cs="宋体"/>
                <w:sz w:val="24"/>
              </w:rPr>
            </w:pPr>
            <w:r>
              <w:rPr>
                <w:rFonts w:hint="eastAsia" w:ascii="宋体" w:hAnsi="宋体" w:eastAsia="宋体" w:cs="宋体"/>
                <w:sz w:val="24"/>
              </w:rPr>
              <w:t>法定代表人：</w:t>
            </w:r>
          </w:p>
        </w:tc>
      </w:tr>
      <w:tr w14:paraId="2245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3DC3D3A2">
            <w:pPr>
              <w:spacing w:line="460" w:lineRule="exact"/>
              <w:rPr>
                <w:rFonts w:ascii="宋体" w:hAnsi="宋体" w:eastAsia="宋体" w:cs="宋体"/>
                <w:sz w:val="24"/>
              </w:rPr>
            </w:pPr>
            <w:r>
              <w:rPr>
                <w:rFonts w:hint="eastAsia" w:ascii="宋体" w:hAnsi="宋体" w:eastAsia="宋体" w:cs="宋体"/>
                <w:sz w:val="24"/>
              </w:rPr>
              <w:t>电话：</w:t>
            </w:r>
            <w:r>
              <w:rPr>
                <w:rFonts w:hint="eastAsia" w:ascii="宋体" w:hAnsi="宋体" w:cs="宋体"/>
                <w:sz w:val="24"/>
              </w:rPr>
              <w:t>0898-</w:t>
            </w:r>
            <w:r>
              <w:rPr>
                <w:rFonts w:hint="eastAsia" w:ascii="宋体" w:hAnsi="宋体" w:cs="宋体"/>
                <w:sz w:val="24"/>
                <w:lang w:val="en-US" w:eastAsia="zh-CN"/>
              </w:rPr>
              <w:t>66808141</w:t>
            </w:r>
          </w:p>
        </w:tc>
        <w:tc>
          <w:tcPr>
            <w:tcW w:w="4410" w:type="dxa"/>
            <w:shd w:val="clear" w:color="auto" w:fill="auto"/>
          </w:tcPr>
          <w:p w14:paraId="469C5FA1">
            <w:pPr>
              <w:spacing w:line="460" w:lineRule="exact"/>
              <w:rPr>
                <w:rFonts w:ascii="宋体" w:hAnsi="宋体" w:eastAsia="宋体" w:cs="宋体"/>
                <w:sz w:val="24"/>
              </w:rPr>
            </w:pPr>
            <w:r>
              <w:rPr>
                <w:rFonts w:hint="eastAsia" w:ascii="宋体" w:hAnsi="宋体" w:eastAsia="宋体" w:cs="宋体"/>
                <w:sz w:val="24"/>
              </w:rPr>
              <w:t>电话：</w:t>
            </w:r>
          </w:p>
        </w:tc>
      </w:tr>
      <w:tr w14:paraId="6721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0A6A3064">
            <w:pPr>
              <w:spacing w:line="460" w:lineRule="exact"/>
              <w:rPr>
                <w:rFonts w:ascii="宋体" w:hAnsi="宋体" w:eastAsia="宋体" w:cs="宋体"/>
                <w:sz w:val="24"/>
              </w:rPr>
            </w:pPr>
            <w:r>
              <w:rPr>
                <w:rFonts w:hint="eastAsia" w:ascii="宋体" w:hAnsi="宋体" w:eastAsia="宋体" w:cs="宋体"/>
                <w:sz w:val="24"/>
              </w:rPr>
              <w:t>开户行：中国农业银行海口椰海支行</w:t>
            </w:r>
          </w:p>
        </w:tc>
        <w:tc>
          <w:tcPr>
            <w:tcW w:w="4410" w:type="dxa"/>
            <w:shd w:val="clear" w:color="auto" w:fill="auto"/>
          </w:tcPr>
          <w:p w14:paraId="76ECED92">
            <w:pPr>
              <w:spacing w:line="460" w:lineRule="exact"/>
              <w:ind w:left="917" w:hanging="916" w:hangingChars="382"/>
              <w:rPr>
                <w:rFonts w:ascii="宋体" w:hAnsi="宋体" w:eastAsia="宋体" w:cs="宋体"/>
                <w:sz w:val="24"/>
              </w:rPr>
            </w:pPr>
            <w:r>
              <w:rPr>
                <w:rFonts w:hint="eastAsia" w:ascii="宋体" w:hAnsi="宋体" w:eastAsia="宋体" w:cs="宋体"/>
                <w:sz w:val="24"/>
              </w:rPr>
              <w:t>开户行：</w:t>
            </w:r>
          </w:p>
        </w:tc>
      </w:tr>
      <w:tr w14:paraId="0F19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4AEBE072">
            <w:pPr>
              <w:spacing w:line="460" w:lineRule="exact"/>
              <w:rPr>
                <w:rFonts w:ascii="宋体" w:hAnsi="宋体" w:eastAsia="宋体" w:cs="宋体"/>
                <w:sz w:val="24"/>
              </w:rPr>
            </w:pPr>
            <w:r>
              <w:rPr>
                <w:rFonts w:hint="eastAsia" w:ascii="宋体" w:hAnsi="宋体" w:eastAsia="宋体" w:cs="宋体"/>
                <w:sz w:val="24"/>
              </w:rPr>
              <w:t>账号：21-1650 0104 0000 100</w:t>
            </w:r>
          </w:p>
        </w:tc>
        <w:tc>
          <w:tcPr>
            <w:tcW w:w="4410" w:type="dxa"/>
            <w:shd w:val="clear" w:color="auto" w:fill="auto"/>
          </w:tcPr>
          <w:p w14:paraId="7C3A9F68">
            <w:pPr>
              <w:spacing w:line="460" w:lineRule="exact"/>
              <w:rPr>
                <w:rFonts w:ascii="宋体" w:hAnsi="宋体" w:eastAsia="宋体" w:cs="宋体"/>
                <w:sz w:val="24"/>
              </w:rPr>
            </w:pPr>
            <w:r>
              <w:rPr>
                <w:rFonts w:hint="eastAsia" w:ascii="宋体" w:hAnsi="宋体" w:eastAsia="宋体" w:cs="宋体"/>
                <w:sz w:val="24"/>
              </w:rPr>
              <w:t>账号：</w:t>
            </w:r>
          </w:p>
        </w:tc>
      </w:tr>
      <w:tr w14:paraId="3DFD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5" w:type="dxa"/>
            <w:shd w:val="clear" w:color="auto" w:fill="auto"/>
          </w:tcPr>
          <w:p w14:paraId="5FC4A79C">
            <w:pPr>
              <w:spacing w:line="460" w:lineRule="exact"/>
              <w:rPr>
                <w:rFonts w:ascii="宋体" w:hAnsi="宋体" w:eastAsia="宋体" w:cs="宋体"/>
                <w:sz w:val="24"/>
              </w:rPr>
            </w:pPr>
            <w:r>
              <w:rPr>
                <w:rFonts w:hint="eastAsia" w:ascii="宋体" w:hAnsi="宋体" w:eastAsia="宋体" w:cs="宋体"/>
                <w:sz w:val="24"/>
                <w:lang w:val="en-US" w:eastAsia="zh-CN"/>
              </w:rPr>
              <w:t>税号</w:t>
            </w:r>
            <w:r>
              <w:rPr>
                <w:rFonts w:hint="eastAsia" w:ascii="宋体" w:hAnsi="宋体" w:eastAsia="宋体" w:cs="宋体"/>
                <w:sz w:val="24"/>
              </w:rPr>
              <w:t>：1246 0000 4282 0010 X4</w:t>
            </w:r>
          </w:p>
        </w:tc>
        <w:tc>
          <w:tcPr>
            <w:tcW w:w="4410" w:type="dxa"/>
            <w:shd w:val="clear" w:color="auto" w:fill="auto"/>
          </w:tcPr>
          <w:p w14:paraId="4E09C4E8">
            <w:pPr>
              <w:spacing w:line="460" w:lineRule="exact"/>
              <w:rPr>
                <w:rFonts w:ascii="宋体" w:hAnsi="宋体" w:eastAsia="宋体" w:cs="宋体"/>
                <w:sz w:val="24"/>
              </w:rPr>
            </w:pPr>
            <w:r>
              <w:rPr>
                <w:rFonts w:hint="eastAsia" w:ascii="宋体" w:hAnsi="宋体" w:eastAsia="宋体" w:cs="宋体"/>
                <w:sz w:val="24"/>
              </w:rPr>
              <w:t>税号：</w:t>
            </w:r>
          </w:p>
        </w:tc>
      </w:tr>
    </w:tbl>
    <w:p w14:paraId="114D28C8">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80" w:firstLineChars="200"/>
        <w:textAlignment w:val="auto"/>
        <w:rPr>
          <w:rFonts w:asciiTheme="minorEastAsia" w:hAnsiTheme="minorEastAsia" w:cstheme="minorEastAsia"/>
          <w:sz w:val="24"/>
          <w:highlight w:val="none"/>
        </w:rPr>
      </w:pPr>
      <w:r>
        <w:rPr>
          <w:rFonts w:hint="eastAsia" w:asciiTheme="minorEastAsia" w:hAnsiTheme="minorEastAsia" w:eastAsiaTheme="minorEastAsia" w:cstheme="minorEastAsia"/>
          <w:color w:val="auto"/>
          <w:sz w:val="24"/>
          <w:szCs w:val="24"/>
        </w:rPr>
        <w:t>甲乙双方根据</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年</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月</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thick"/>
        </w:rPr>
        <w:t>日</w:t>
      </w:r>
      <w:r>
        <w:rPr>
          <w:rFonts w:hint="eastAsia" w:asciiTheme="minorEastAsia" w:hAnsiTheme="minorEastAsia" w:eastAsiaTheme="minorEastAsia" w:cstheme="minorEastAsia"/>
          <w:color w:val="auto"/>
          <w:sz w:val="24"/>
          <w:szCs w:val="24"/>
        </w:rPr>
        <w:t>招标项目</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rPr>
        <w:t>编号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thick"/>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（公开招标、竞争性磋商）结果</w:t>
      </w:r>
      <w:r>
        <w:rPr>
          <w:rFonts w:hint="eastAsia" w:asciiTheme="minorEastAsia" w:hAnsiTheme="minorEastAsia" w:eastAsiaTheme="minorEastAsia" w:cstheme="minorEastAsia"/>
          <w:color w:val="auto"/>
          <w:sz w:val="24"/>
          <w:szCs w:val="24"/>
          <w:lang w:val="en-US" w:eastAsia="zh-CN"/>
        </w:rPr>
        <w:t>以及</w:t>
      </w:r>
      <w:r>
        <w:rPr>
          <w:rFonts w:hint="eastAsia" w:asciiTheme="minorEastAsia" w:hAnsiTheme="minorEastAsia" w:eastAsiaTheme="minorEastAsia" w:cstheme="minorEastAsia"/>
          <w:color w:val="auto"/>
          <w:sz w:val="24"/>
          <w:szCs w:val="24"/>
          <w:highlight w:val="none"/>
          <w:lang w:val="en-US" w:eastAsia="zh-CN"/>
        </w:rPr>
        <w:t>招标</w:t>
      </w:r>
      <w:r>
        <w:rPr>
          <w:rFonts w:hint="default"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Hans"/>
        </w:rPr>
        <w:t>磋商</w:t>
      </w:r>
      <w:r>
        <w:rPr>
          <w:rFonts w:hint="default"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lang w:val="en-US" w:eastAsia="zh-CN"/>
        </w:rPr>
        <w:t>文件和响应文件的要求，经协商一致同意以下条款作为本合同条款</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根据《中华人民共和</w:t>
      </w:r>
      <w:r>
        <w:rPr>
          <w:rFonts w:hint="eastAsia" w:asciiTheme="minorEastAsia" w:hAnsiTheme="minorEastAsia" w:cstheme="minorEastAsia"/>
          <w:color w:val="auto"/>
          <w:sz w:val="24"/>
          <w:szCs w:val="24"/>
          <w:lang w:val="en-US" w:eastAsia="zh-CN"/>
        </w:rPr>
        <w:t>国</w:t>
      </w:r>
      <w:r>
        <w:rPr>
          <w:rFonts w:hint="eastAsia" w:asciiTheme="minorEastAsia" w:hAnsiTheme="minorEastAsia" w:eastAsiaTheme="minorEastAsia" w:cstheme="minorEastAsia"/>
          <w:color w:val="auto"/>
          <w:sz w:val="24"/>
          <w:szCs w:val="24"/>
          <w:lang w:val="en-US" w:eastAsia="zh-CN"/>
        </w:rPr>
        <w:t>民法典》和有关法律法规，遵循平等、自愿、公平和诚实信用原则，同意按照下面的条款和条件签订采购合同。</w:t>
      </w:r>
    </w:p>
    <w:p w14:paraId="624794E0">
      <w:pPr>
        <w:numPr>
          <w:ilvl w:val="0"/>
          <w:numId w:val="1"/>
        </w:numPr>
        <w:spacing w:line="340" w:lineRule="exact"/>
        <w:ind w:firstLine="480" w:firstLineChars="200"/>
        <w:rPr>
          <w:rFonts w:hint="eastAsia" w:asciiTheme="minorEastAsia" w:hAnsiTheme="minorEastAsia" w:cstheme="minorEastAsia"/>
          <w:b/>
          <w:bCs/>
          <w:sz w:val="24"/>
        </w:rPr>
      </w:pPr>
      <w:r>
        <w:rPr>
          <w:rFonts w:hint="eastAsia" w:asciiTheme="minorEastAsia" w:hAnsiTheme="minorEastAsia" w:cstheme="minorEastAsia"/>
          <w:b/>
          <w:bCs/>
          <w:sz w:val="24"/>
        </w:rPr>
        <w:t>产品名称、注册证名称、生产厂家、型号规格、数量、金额</w:t>
      </w:r>
    </w:p>
    <w:tbl>
      <w:tblPr>
        <w:tblStyle w:val="7"/>
        <w:tblW w:w="11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530"/>
        <w:gridCol w:w="1740"/>
        <w:gridCol w:w="1665"/>
        <w:gridCol w:w="1515"/>
        <w:gridCol w:w="540"/>
        <w:gridCol w:w="705"/>
        <w:gridCol w:w="1323"/>
        <w:gridCol w:w="1212"/>
      </w:tblGrid>
      <w:tr w14:paraId="5F4C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33" w:type="dxa"/>
            <w:noWrap w:val="0"/>
            <w:vAlign w:val="center"/>
          </w:tcPr>
          <w:p w14:paraId="442490C8">
            <w:pPr>
              <w:spacing w:line="360" w:lineRule="auto"/>
              <w:jc w:val="center"/>
              <w:rPr>
                <w:rFonts w:hint="eastAsia" w:ascii="宋体" w:hAnsi="宋体" w:cs="宋体"/>
                <w:b/>
                <w:bCs/>
              </w:rPr>
            </w:pPr>
            <w:r>
              <w:rPr>
                <w:rFonts w:hint="eastAsia" w:ascii="宋体" w:hAnsi="宋体" w:cs="宋体"/>
                <w:b/>
                <w:bCs/>
              </w:rPr>
              <w:t>序号</w:t>
            </w:r>
          </w:p>
        </w:tc>
        <w:tc>
          <w:tcPr>
            <w:tcW w:w="1530" w:type="dxa"/>
            <w:noWrap w:val="0"/>
            <w:vAlign w:val="center"/>
          </w:tcPr>
          <w:p w14:paraId="41B549AE">
            <w:pPr>
              <w:spacing w:line="360" w:lineRule="auto"/>
              <w:jc w:val="center"/>
              <w:rPr>
                <w:rFonts w:ascii="宋体" w:hAnsi="宋体" w:cs="宋体"/>
                <w:b/>
                <w:bCs/>
                <w:color w:val="000000"/>
              </w:rPr>
            </w:pPr>
            <w:r>
              <w:rPr>
                <w:rFonts w:hint="eastAsia" w:ascii="宋体" w:hAnsi="宋体" w:cs="宋体"/>
                <w:b/>
                <w:bCs/>
                <w:color w:val="auto"/>
              </w:rPr>
              <w:t>产品通用名称</w:t>
            </w:r>
          </w:p>
        </w:tc>
        <w:tc>
          <w:tcPr>
            <w:tcW w:w="1740" w:type="dxa"/>
            <w:noWrap w:val="0"/>
            <w:vAlign w:val="center"/>
          </w:tcPr>
          <w:p w14:paraId="27EA33BE">
            <w:pPr>
              <w:spacing w:line="360" w:lineRule="auto"/>
              <w:jc w:val="center"/>
              <w:rPr>
                <w:rFonts w:hint="eastAsia" w:ascii="宋体" w:hAnsi="宋体" w:cs="宋体"/>
                <w:b/>
                <w:bCs/>
              </w:rPr>
            </w:pPr>
            <w:r>
              <w:rPr>
                <w:rFonts w:hint="eastAsia" w:ascii="宋体" w:hAnsi="宋体" w:cs="宋体"/>
                <w:b/>
                <w:bCs/>
              </w:rPr>
              <w:t>注册证名称</w:t>
            </w:r>
          </w:p>
        </w:tc>
        <w:tc>
          <w:tcPr>
            <w:tcW w:w="1665" w:type="dxa"/>
            <w:noWrap w:val="0"/>
            <w:vAlign w:val="center"/>
          </w:tcPr>
          <w:p w14:paraId="1FBD1AD4">
            <w:pPr>
              <w:spacing w:line="360" w:lineRule="auto"/>
              <w:jc w:val="center"/>
              <w:rPr>
                <w:rFonts w:hint="eastAsia" w:ascii="宋体" w:hAnsi="宋体" w:cs="宋体"/>
                <w:b/>
                <w:bCs/>
              </w:rPr>
            </w:pPr>
            <w:r>
              <w:rPr>
                <w:rFonts w:hint="eastAsia" w:ascii="宋体" w:hAnsi="宋体" w:cs="宋体"/>
                <w:b/>
                <w:bCs/>
                <w:color w:val="000000"/>
              </w:rPr>
              <w:t>生产厂家</w:t>
            </w:r>
          </w:p>
        </w:tc>
        <w:tc>
          <w:tcPr>
            <w:tcW w:w="1515" w:type="dxa"/>
            <w:noWrap w:val="0"/>
            <w:vAlign w:val="center"/>
          </w:tcPr>
          <w:p w14:paraId="669DFDA9">
            <w:pPr>
              <w:spacing w:line="360" w:lineRule="auto"/>
              <w:jc w:val="center"/>
              <w:rPr>
                <w:rFonts w:hint="eastAsia" w:ascii="宋体" w:hAnsi="宋体" w:cs="宋体"/>
                <w:b/>
                <w:bCs/>
                <w:color w:val="000000"/>
              </w:rPr>
            </w:pPr>
            <w:r>
              <w:rPr>
                <w:rFonts w:hint="eastAsia" w:ascii="宋体" w:hAnsi="宋体" w:cs="宋体"/>
                <w:b/>
                <w:bCs/>
                <w:color w:val="000000"/>
              </w:rPr>
              <w:t>型号</w:t>
            </w:r>
          </w:p>
          <w:p w14:paraId="5D085C93">
            <w:pPr>
              <w:spacing w:line="360" w:lineRule="auto"/>
              <w:jc w:val="center"/>
              <w:rPr>
                <w:rFonts w:hint="eastAsia" w:ascii="宋体" w:hAnsi="宋体" w:cs="宋体"/>
                <w:b/>
                <w:bCs/>
              </w:rPr>
            </w:pPr>
            <w:r>
              <w:rPr>
                <w:rFonts w:hint="eastAsia" w:ascii="宋体" w:hAnsi="宋体" w:cs="宋体"/>
                <w:b/>
                <w:bCs/>
                <w:color w:val="000000"/>
              </w:rPr>
              <w:t>规格</w:t>
            </w:r>
          </w:p>
        </w:tc>
        <w:tc>
          <w:tcPr>
            <w:tcW w:w="540" w:type="dxa"/>
            <w:noWrap w:val="0"/>
            <w:vAlign w:val="center"/>
          </w:tcPr>
          <w:p w14:paraId="63B1332E">
            <w:pPr>
              <w:spacing w:line="360" w:lineRule="auto"/>
              <w:jc w:val="center"/>
              <w:rPr>
                <w:rFonts w:hint="eastAsia" w:ascii="宋体" w:hAnsi="宋体" w:cs="宋体"/>
                <w:b/>
                <w:bCs/>
              </w:rPr>
            </w:pPr>
            <w:r>
              <w:rPr>
                <w:rFonts w:hint="eastAsia" w:ascii="宋体" w:hAnsi="宋体" w:cs="宋体"/>
                <w:b/>
                <w:bCs/>
              </w:rPr>
              <w:t>数量</w:t>
            </w:r>
          </w:p>
        </w:tc>
        <w:tc>
          <w:tcPr>
            <w:tcW w:w="705" w:type="dxa"/>
            <w:noWrap w:val="0"/>
            <w:vAlign w:val="center"/>
          </w:tcPr>
          <w:p w14:paraId="0E26A94B">
            <w:pPr>
              <w:spacing w:line="360" w:lineRule="auto"/>
              <w:jc w:val="center"/>
              <w:rPr>
                <w:rFonts w:hint="eastAsia" w:ascii="宋体" w:hAnsi="宋体" w:cs="宋体"/>
                <w:b/>
                <w:bCs/>
              </w:rPr>
            </w:pPr>
            <w:r>
              <w:rPr>
                <w:rFonts w:hint="eastAsia" w:ascii="宋体" w:hAnsi="宋体" w:cs="宋体"/>
                <w:b/>
                <w:bCs/>
              </w:rPr>
              <w:t>计量单位</w:t>
            </w:r>
          </w:p>
        </w:tc>
        <w:tc>
          <w:tcPr>
            <w:tcW w:w="1323" w:type="dxa"/>
            <w:noWrap w:val="0"/>
            <w:vAlign w:val="center"/>
          </w:tcPr>
          <w:p w14:paraId="64926EE3">
            <w:pPr>
              <w:spacing w:line="360" w:lineRule="auto"/>
              <w:jc w:val="center"/>
              <w:rPr>
                <w:rFonts w:hint="eastAsia" w:ascii="宋体" w:hAnsi="宋体" w:cs="宋体"/>
                <w:b/>
                <w:bCs/>
              </w:rPr>
            </w:pPr>
            <w:r>
              <w:rPr>
                <w:rFonts w:hint="eastAsia" w:ascii="宋体" w:hAnsi="宋体" w:cs="宋体"/>
                <w:b/>
                <w:bCs/>
              </w:rPr>
              <w:t>单价(元</w:t>
            </w:r>
            <w:r>
              <w:rPr>
                <w:rFonts w:hint="eastAsia" w:ascii="宋体" w:hAnsi="宋体" w:cs="宋体"/>
                <w:b/>
                <w:bCs/>
                <w:lang w:val="en-US" w:eastAsia="zh-CN"/>
              </w:rPr>
              <w:t>/计量单位</w:t>
            </w:r>
            <w:r>
              <w:rPr>
                <w:rFonts w:hint="eastAsia" w:ascii="宋体" w:hAnsi="宋体" w:cs="宋体"/>
                <w:b/>
                <w:bCs/>
              </w:rPr>
              <w:t>)</w:t>
            </w:r>
          </w:p>
        </w:tc>
        <w:tc>
          <w:tcPr>
            <w:tcW w:w="1212" w:type="dxa"/>
            <w:noWrap w:val="0"/>
            <w:vAlign w:val="center"/>
          </w:tcPr>
          <w:p w14:paraId="18D82720">
            <w:pPr>
              <w:spacing w:line="360" w:lineRule="auto"/>
              <w:jc w:val="center"/>
              <w:rPr>
                <w:rFonts w:ascii="宋体" w:hAnsi="宋体" w:cs="宋体"/>
                <w:b/>
                <w:bCs/>
              </w:rPr>
            </w:pPr>
            <w:r>
              <w:rPr>
                <w:rFonts w:hint="eastAsia" w:ascii="宋体" w:hAnsi="宋体" w:cs="宋体"/>
                <w:b/>
                <w:bCs/>
                <w:lang w:val="en-US" w:eastAsia="zh-CN"/>
              </w:rPr>
              <w:t>小计</w:t>
            </w:r>
            <w:r>
              <w:rPr>
                <w:rFonts w:hint="eastAsia" w:ascii="宋体" w:hAnsi="宋体" w:cs="宋体"/>
                <w:b/>
                <w:bCs/>
              </w:rPr>
              <w:t>金额</w:t>
            </w:r>
          </w:p>
          <w:p w14:paraId="39A2EE18">
            <w:pPr>
              <w:spacing w:line="360" w:lineRule="auto"/>
              <w:jc w:val="center"/>
              <w:rPr>
                <w:rFonts w:hint="eastAsia" w:ascii="宋体" w:hAnsi="宋体" w:cs="宋体"/>
                <w:b/>
                <w:bCs/>
              </w:rPr>
            </w:pPr>
            <w:r>
              <w:rPr>
                <w:rFonts w:hint="eastAsia" w:ascii="宋体" w:hAnsi="宋体" w:cs="宋体"/>
                <w:b/>
                <w:bCs/>
              </w:rPr>
              <w:t>(元)</w:t>
            </w:r>
          </w:p>
        </w:tc>
      </w:tr>
      <w:tr w14:paraId="09F2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33" w:type="dxa"/>
            <w:noWrap w:val="0"/>
            <w:vAlign w:val="center"/>
          </w:tcPr>
          <w:p w14:paraId="3B30B63D">
            <w:pPr>
              <w:spacing w:line="360" w:lineRule="auto"/>
              <w:jc w:val="center"/>
              <w:rPr>
                <w:rFonts w:hint="eastAsia" w:ascii="宋体" w:hAnsi="宋体" w:cs="宋体"/>
                <w:color w:val="FF0000"/>
              </w:rPr>
            </w:pPr>
            <w:r>
              <w:rPr>
                <w:rFonts w:hint="eastAsia" w:ascii="宋体" w:hAnsi="宋体" w:cs="宋体"/>
              </w:rPr>
              <w:t>1</w:t>
            </w:r>
          </w:p>
        </w:tc>
        <w:tc>
          <w:tcPr>
            <w:tcW w:w="1530" w:type="dxa"/>
            <w:noWrap w:val="0"/>
            <w:vAlign w:val="center"/>
          </w:tcPr>
          <w:p w14:paraId="4C2488BD">
            <w:pPr>
              <w:spacing w:line="360" w:lineRule="auto"/>
              <w:jc w:val="left"/>
              <w:rPr>
                <w:rFonts w:hint="eastAsia" w:ascii="宋体" w:hAnsi="宋体" w:eastAsia="宋体" w:cs="宋体"/>
                <w:color w:val="FF0000"/>
                <w:lang w:val="en-US" w:eastAsia="zh-CN"/>
              </w:rPr>
            </w:pPr>
          </w:p>
        </w:tc>
        <w:tc>
          <w:tcPr>
            <w:tcW w:w="1740" w:type="dxa"/>
            <w:noWrap w:val="0"/>
            <w:vAlign w:val="center"/>
          </w:tcPr>
          <w:p w14:paraId="02C7C55B">
            <w:pPr>
              <w:spacing w:line="360" w:lineRule="auto"/>
              <w:jc w:val="left"/>
              <w:rPr>
                <w:rFonts w:hint="eastAsia" w:ascii="宋体" w:hAnsi="宋体" w:cs="宋体"/>
                <w:color w:val="FF0000"/>
              </w:rPr>
            </w:pPr>
          </w:p>
        </w:tc>
        <w:tc>
          <w:tcPr>
            <w:tcW w:w="1665" w:type="dxa"/>
            <w:noWrap w:val="0"/>
            <w:vAlign w:val="center"/>
          </w:tcPr>
          <w:p w14:paraId="3D2049FD">
            <w:pPr>
              <w:spacing w:line="360" w:lineRule="auto"/>
              <w:jc w:val="left"/>
              <w:rPr>
                <w:rFonts w:hint="eastAsia" w:ascii="宋体" w:hAnsi="宋体" w:cs="宋体"/>
                <w:color w:val="FF0000"/>
              </w:rPr>
            </w:pPr>
          </w:p>
        </w:tc>
        <w:tc>
          <w:tcPr>
            <w:tcW w:w="1515" w:type="dxa"/>
            <w:noWrap w:val="0"/>
            <w:vAlign w:val="center"/>
          </w:tcPr>
          <w:p w14:paraId="08CAFE4F">
            <w:pPr>
              <w:spacing w:line="360" w:lineRule="auto"/>
              <w:jc w:val="left"/>
              <w:rPr>
                <w:rFonts w:hint="eastAsia" w:ascii="宋体" w:hAnsi="宋体" w:cs="宋体"/>
                <w:color w:val="FF0000"/>
              </w:rPr>
            </w:pPr>
          </w:p>
        </w:tc>
        <w:tc>
          <w:tcPr>
            <w:tcW w:w="540" w:type="dxa"/>
            <w:noWrap w:val="0"/>
            <w:vAlign w:val="center"/>
          </w:tcPr>
          <w:p w14:paraId="2AE5485E">
            <w:pPr>
              <w:spacing w:line="360" w:lineRule="auto"/>
              <w:jc w:val="left"/>
              <w:rPr>
                <w:rFonts w:hint="eastAsia" w:ascii="宋体" w:hAnsi="宋体" w:cs="宋体"/>
                <w:color w:val="FF0000"/>
              </w:rPr>
            </w:pPr>
          </w:p>
        </w:tc>
        <w:tc>
          <w:tcPr>
            <w:tcW w:w="705" w:type="dxa"/>
            <w:noWrap w:val="0"/>
            <w:vAlign w:val="center"/>
          </w:tcPr>
          <w:p w14:paraId="0AD50B31">
            <w:pPr>
              <w:spacing w:line="360" w:lineRule="auto"/>
              <w:jc w:val="left"/>
              <w:rPr>
                <w:rFonts w:hint="eastAsia" w:ascii="宋体" w:hAnsi="宋体" w:cs="宋体"/>
                <w:color w:val="FF0000"/>
              </w:rPr>
            </w:pPr>
          </w:p>
        </w:tc>
        <w:tc>
          <w:tcPr>
            <w:tcW w:w="1323" w:type="dxa"/>
            <w:noWrap w:val="0"/>
            <w:vAlign w:val="center"/>
          </w:tcPr>
          <w:p w14:paraId="31D23728">
            <w:pPr>
              <w:spacing w:line="360" w:lineRule="auto"/>
              <w:jc w:val="left"/>
              <w:rPr>
                <w:rFonts w:hint="eastAsia" w:ascii="宋体" w:hAnsi="宋体" w:cs="宋体"/>
                <w:color w:val="FF0000"/>
              </w:rPr>
            </w:pPr>
          </w:p>
        </w:tc>
        <w:tc>
          <w:tcPr>
            <w:tcW w:w="1212" w:type="dxa"/>
            <w:noWrap w:val="0"/>
            <w:vAlign w:val="center"/>
          </w:tcPr>
          <w:p w14:paraId="23B76D5B">
            <w:pPr>
              <w:spacing w:line="360" w:lineRule="auto"/>
              <w:jc w:val="left"/>
              <w:rPr>
                <w:rFonts w:hint="eastAsia" w:ascii="宋体" w:hAnsi="宋体" w:cs="宋体"/>
                <w:color w:val="FF0000"/>
              </w:rPr>
            </w:pPr>
          </w:p>
        </w:tc>
      </w:tr>
      <w:tr w14:paraId="186B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33" w:type="dxa"/>
            <w:noWrap w:val="0"/>
            <w:vAlign w:val="center"/>
          </w:tcPr>
          <w:p w14:paraId="69432DC3">
            <w:pPr>
              <w:spacing w:line="360" w:lineRule="auto"/>
              <w:jc w:val="center"/>
              <w:rPr>
                <w:rFonts w:hint="eastAsia" w:ascii="宋体" w:hAnsi="宋体" w:cs="宋体" w:eastAsiaTheme="minorEastAsia"/>
                <w:lang w:val="en-US" w:eastAsia="zh-CN"/>
              </w:rPr>
            </w:pPr>
            <w:r>
              <w:rPr>
                <w:rFonts w:hint="eastAsia" w:ascii="宋体" w:hAnsi="宋体" w:cs="宋体"/>
                <w:lang w:val="en-US" w:eastAsia="zh-CN"/>
              </w:rPr>
              <w:t>2</w:t>
            </w:r>
          </w:p>
        </w:tc>
        <w:tc>
          <w:tcPr>
            <w:tcW w:w="1530" w:type="dxa"/>
            <w:noWrap w:val="0"/>
            <w:vAlign w:val="center"/>
          </w:tcPr>
          <w:p w14:paraId="69EFB37D">
            <w:pPr>
              <w:spacing w:line="360" w:lineRule="auto"/>
              <w:jc w:val="left"/>
              <w:rPr>
                <w:rFonts w:hint="eastAsia" w:ascii="宋体" w:hAnsi="宋体" w:eastAsia="宋体" w:cs="宋体"/>
                <w:color w:val="FF0000"/>
                <w:lang w:val="en-US" w:eastAsia="zh-CN"/>
              </w:rPr>
            </w:pPr>
          </w:p>
        </w:tc>
        <w:tc>
          <w:tcPr>
            <w:tcW w:w="1740" w:type="dxa"/>
            <w:noWrap w:val="0"/>
            <w:vAlign w:val="center"/>
          </w:tcPr>
          <w:p w14:paraId="7668EDA5">
            <w:pPr>
              <w:spacing w:line="360" w:lineRule="auto"/>
              <w:jc w:val="left"/>
              <w:rPr>
                <w:rFonts w:hint="eastAsia" w:ascii="宋体" w:hAnsi="宋体" w:cs="宋体"/>
                <w:color w:val="FF0000"/>
              </w:rPr>
            </w:pPr>
          </w:p>
        </w:tc>
        <w:tc>
          <w:tcPr>
            <w:tcW w:w="1665" w:type="dxa"/>
            <w:noWrap w:val="0"/>
            <w:vAlign w:val="center"/>
          </w:tcPr>
          <w:p w14:paraId="5A4A1F5D">
            <w:pPr>
              <w:spacing w:line="360" w:lineRule="auto"/>
              <w:jc w:val="left"/>
              <w:rPr>
                <w:rFonts w:hint="eastAsia" w:ascii="宋体" w:hAnsi="宋体" w:cs="宋体"/>
                <w:color w:val="FF0000"/>
              </w:rPr>
            </w:pPr>
          </w:p>
        </w:tc>
        <w:tc>
          <w:tcPr>
            <w:tcW w:w="1515" w:type="dxa"/>
            <w:noWrap w:val="0"/>
            <w:vAlign w:val="center"/>
          </w:tcPr>
          <w:p w14:paraId="41C95821">
            <w:pPr>
              <w:spacing w:line="360" w:lineRule="auto"/>
              <w:jc w:val="left"/>
              <w:rPr>
                <w:rFonts w:hint="eastAsia" w:ascii="宋体" w:hAnsi="宋体" w:cs="宋体"/>
                <w:color w:val="FF0000"/>
              </w:rPr>
            </w:pPr>
          </w:p>
        </w:tc>
        <w:tc>
          <w:tcPr>
            <w:tcW w:w="540" w:type="dxa"/>
            <w:noWrap w:val="0"/>
            <w:vAlign w:val="center"/>
          </w:tcPr>
          <w:p w14:paraId="1873AA00">
            <w:pPr>
              <w:spacing w:line="360" w:lineRule="auto"/>
              <w:jc w:val="left"/>
              <w:rPr>
                <w:rFonts w:hint="eastAsia" w:ascii="宋体" w:hAnsi="宋体" w:cs="宋体"/>
                <w:color w:val="FF0000"/>
              </w:rPr>
            </w:pPr>
          </w:p>
        </w:tc>
        <w:tc>
          <w:tcPr>
            <w:tcW w:w="705" w:type="dxa"/>
            <w:noWrap w:val="0"/>
            <w:vAlign w:val="center"/>
          </w:tcPr>
          <w:p w14:paraId="52F14988">
            <w:pPr>
              <w:spacing w:line="360" w:lineRule="auto"/>
              <w:jc w:val="left"/>
              <w:rPr>
                <w:rFonts w:hint="eastAsia" w:ascii="宋体" w:hAnsi="宋体" w:cs="宋体"/>
                <w:color w:val="FF0000"/>
              </w:rPr>
            </w:pPr>
          </w:p>
        </w:tc>
        <w:tc>
          <w:tcPr>
            <w:tcW w:w="1323" w:type="dxa"/>
            <w:noWrap w:val="0"/>
            <w:vAlign w:val="center"/>
          </w:tcPr>
          <w:p w14:paraId="2E134BDD">
            <w:pPr>
              <w:spacing w:line="360" w:lineRule="auto"/>
              <w:jc w:val="left"/>
              <w:rPr>
                <w:rFonts w:hint="eastAsia" w:ascii="宋体" w:hAnsi="宋体" w:cs="宋体"/>
                <w:color w:val="FF0000"/>
              </w:rPr>
            </w:pPr>
          </w:p>
        </w:tc>
        <w:tc>
          <w:tcPr>
            <w:tcW w:w="1212" w:type="dxa"/>
            <w:noWrap w:val="0"/>
            <w:vAlign w:val="center"/>
          </w:tcPr>
          <w:p w14:paraId="10463FF8">
            <w:pPr>
              <w:spacing w:line="360" w:lineRule="auto"/>
              <w:jc w:val="left"/>
              <w:rPr>
                <w:rFonts w:hint="eastAsia" w:ascii="宋体" w:hAnsi="宋体" w:cs="宋体"/>
                <w:color w:val="FF0000"/>
              </w:rPr>
            </w:pPr>
          </w:p>
        </w:tc>
      </w:tr>
      <w:tr w14:paraId="68D8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051" w:type="dxa"/>
            <w:gridSpan w:val="8"/>
            <w:noWrap w:val="0"/>
            <w:vAlign w:val="center"/>
          </w:tcPr>
          <w:p w14:paraId="119E60F1">
            <w:pPr>
              <w:spacing w:line="360" w:lineRule="auto"/>
              <w:jc w:val="center"/>
              <w:rPr>
                <w:rFonts w:hint="default" w:ascii="宋体" w:hAnsi="宋体" w:cs="宋体" w:eastAsiaTheme="minorEastAsia"/>
                <w:lang w:val="en-US" w:eastAsia="zh-CN"/>
              </w:rPr>
            </w:pPr>
            <w:r>
              <w:rPr>
                <w:rFonts w:hint="eastAsia" w:ascii="宋体" w:hAnsi="宋体" w:cs="宋体"/>
                <w:lang w:val="en-US" w:eastAsia="zh-CN"/>
              </w:rPr>
              <w:t>合计金额</w:t>
            </w:r>
          </w:p>
        </w:tc>
        <w:tc>
          <w:tcPr>
            <w:tcW w:w="1212" w:type="dxa"/>
            <w:noWrap w:val="0"/>
            <w:vAlign w:val="center"/>
          </w:tcPr>
          <w:p w14:paraId="75A3C36D">
            <w:pPr>
              <w:spacing w:line="360" w:lineRule="auto"/>
              <w:ind w:firstLine="420" w:firstLineChars="200"/>
              <w:jc w:val="left"/>
              <w:rPr>
                <w:rFonts w:hint="eastAsia" w:ascii="宋体" w:hAnsi="宋体" w:cs="宋体"/>
              </w:rPr>
            </w:pPr>
          </w:p>
        </w:tc>
      </w:tr>
      <w:tr w14:paraId="5D96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3" w:type="dxa"/>
            <w:noWrap w:val="0"/>
            <w:vAlign w:val="center"/>
          </w:tcPr>
          <w:p w14:paraId="1AAC117B">
            <w:pPr>
              <w:spacing w:line="360" w:lineRule="auto"/>
              <w:jc w:val="left"/>
              <w:rPr>
                <w:rFonts w:hint="eastAsia" w:ascii="宋体" w:hAnsi="宋体" w:cs="宋体"/>
              </w:rPr>
            </w:pPr>
            <w:r>
              <w:rPr>
                <w:rFonts w:hint="eastAsia" w:ascii="宋体" w:hAnsi="宋体" w:cs="宋体"/>
                <w:lang w:val="en-US" w:eastAsia="zh-CN"/>
              </w:rPr>
              <w:t>人民币</w:t>
            </w:r>
            <w:r>
              <w:rPr>
                <w:rFonts w:hint="eastAsia" w:ascii="宋体" w:hAnsi="宋体" w:cs="宋体"/>
              </w:rPr>
              <w:t>大写</w:t>
            </w:r>
          </w:p>
        </w:tc>
        <w:tc>
          <w:tcPr>
            <w:tcW w:w="10230" w:type="dxa"/>
            <w:gridSpan w:val="8"/>
            <w:noWrap w:val="0"/>
            <w:vAlign w:val="center"/>
          </w:tcPr>
          <w:p w14:paraId="784F302E">
            <w:pPr>
              <w:spacing w:line="360" w:lineRule="auto"/>
              <w:ind w:firstLine="420" w:firstLineChars="200"/>
              <w:jc w:val="left"/>
              <w:rPr>
                <w:rFonts w:hint="eastAsia" w:ascii="宋体" w:hAnsi="宋体" w:cs="宋体"/>
              </w:rPr>
            </w:pPr>
            <w:r>
              <w:rPr>
                <w:rFonts w:hint="eastAsia" w:ascii="宋体" w:hAnsi="宋体" w:cs="宋体"/>
              </w:rPr>
              <w:t xml:space="preserve">           </w:t>
            </w:r>
          </w:p>
        </w:tc>
      </w:tr>
    </w:tbl>
    <w:p w14:paraId="7890455E">
      <w:pPr>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二、交货方式</w:t>
      </w:r>
    </w:p>
    <w:p w14:paraId="5FF82E26">
      <w:pPr>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（一）交货时间：签订合同</w:t>
      </w:r>
      <w:r>
        <w:rPr>
          <w:rFonts w:hint="eastAsia" w:asciiTheme="minorEastAsia" w:hAnsiTheme="minorEastAsia" w:cstheme="minorEastAsia"/>
          <w:bCs/>
          <w:sz w:val="24"/>
          <w:lang w:val="en-US" w:eastAsia="zh-Hans"/>
        </w:rPr>
        <w:t>生效</w:t>
      </w:r>
      <w:r>
        <w:rPr>
          <w:rFonts w:hint="eastAsia" w:asciiTheme="minorEastAsia" w:hAnsiTheme="minorEastAsia" w:cstheme="minorEastAsia"/>
          <w:bCs/>
          <w:sz w:val="24"/>
        </w:rPr>
        <w:t>之日起</w:t>
      </w:r>
      <w:r>
        <w:rPr>
          <w:rFonts w:hint="eastAsia" w:asciiTheme="minorEastAsia" w:hAnsiTheme="minorEastAsia" w:cstheme="minorEastAsia"/>
          <w:bCs/>
          <w:sz w:val="24"/>
          <w:highlight w:val="none"/>
          <w:u w:val="none"/>
        </w:rPr>
        <w:t>国产</w:t>
      </w:r>
      <w:r>
        <w:rPr>
          <w:rFonts w:hint="eastAsia" w:asciiTheme="minorEastAsia" w:hAnsiTheme="minorEastAsia" w:cstheme="minorEastAsia"/>
          <w:bCs/>
          <w:sz w:val="24"/>
          <w:highlight w:val="none"/>
          <w:u w:val="none"/>
          <w:lang w:val="en-US" w:eastAsia="zh-CN"/>
        </w:rPr>
        <w:t>设备</w:t>
      </w:r>
      <w:r>
        <w:rPr>
          <w:rFonts w:hint="eastAsia" w:asciiTheme="minorEastAsia" w:hAnsiTheme="minorEastAsia" w:cstheme="minorEastAsia"/>
          <w:bCs/>
          <w:sz w:val="24"/>
          <w:highlight w:val="none"/>
          <w:u w:val="none"/>
        </w:rPr>
        <w:t>60天、进口</w:t>
      </w:r>
      <w:r>
        <w:rPr>
          <w:rFonts w:hint="eastAsia" w:asciiTheme="minorEastAsia" w:hAnsiTheme="minorEastAsia" w:cstheme="minorEastAsia"/>
          <w:bCs/>
          <w:sz w:val="24"/>
          <w:highlight w:val="none"/>
          <w:u w:val="none"/>
          <w:lang w:val="en-US" w:eastAsia="zh-CN"/>
        </w:rPr>
        <w:t>设备</w:t>
      </w:r>
      <w:r>
        <w:rPr>
          <w:rFonts w:hint="eastAsia" w:asciiTheme="minorEastAsia" w:hAnsiTheme="minorEastAsia" w:cstheme="minorEastAsia"/>
          <w:bCs/>
          <w:sz w:val="24"/>
          <w:highlight w:val="none"/>
          <w:u w:val="none"/>
        </w:rPr>
        <w:t>90天</w:t>
      </w:r>
      <w:r>
        <w:rPr>
          <w:rFonts w:hint="eastAsia" w:asciiTheme="minorEastAsia" w:hAnsiTheme="minorEastAsia" w:cstheme="minorEastAsia"/>
          <w:bCs/>
          <w:sz w:val="24"/>
        </w:rPr>
        <w:t>内交付全部产品。</w:t>
      </w:r>
    </w:p>
    <w:p w14:paraId="52562362">
      <w:pPr>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（二）交货地点：海南医</w:t>
      </w:r>
      <w:r>
        <w:rPr>
          <w:rFonts w:hint="eastAsia" w:asciiTheme="minorEastAsia" w:hAnsiTheme="minorEastAsia" w:cstheme="minorEastAsia"/>
          <w:bCs/>
          <w:sz w:val="24"/>
          <w:lang w:val="en-US" w:eastAsia="zh-CN"/>
        </w:rPr>
        <w:t>科大学</w:t>
      </w:r>
      <w:r>
        <w:rPr>
          <w:rFonts w:hint="eastAsia" w:asciiTheme="minorEastAsia" w:hAnsiTheme="minorEastAsia" w:cstheme="minorEastAsia"/>
          <w:bCs/>
          <w:sz w:val="24"/>
        </w:rPr>
        <w:t>第二附属医院（地址：海南省海口市龙华区椰海大道368号）</w:t>
      </w:r>
    </w:p>
    <w:p w14:paraId="12B4C2CB">
      <w:pPr>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三、安装验收</w:t>
      </w:r>
    </w:p>
    <w:p w14:paraId="46030022">
      <w:pPr>
        <w:snapToGrid w:val="0"/>
        <w:spacing w:line="340" w:lineRule="exact"/>
        <w:ind w:firstLine="480" w:firstLineChars="200"/>
        <w:outlineLvl w:val="0"/>
        <w:rPr>
          <w:rFonts w:asciiTheme="minorEastAsia" w:hAnsiTheme="minorEastAsia" w:cstheme="minorEastAsia"/>
          <w:bCs/>
          <w:color w:val="auto"/>
          <w:sz w:val="24"/>
        </w:rPr>
      </w:pPr>
      <w:r>
        <w:rPr>
          <w:rFonts w:hint="eastAsia" w:asciiTheme="minorEastAsia" w:hAnsiTheme="minorEastAsia" w:cstheme="minorEastAsia"/>
          <w:bCs/>
          <w:sz w:val="24"/>
        </w:rPr>
        <w:t>（一）开箱检验，甲乙双方应共同对设备的包装、外观、设备品牌、原厂商、产地、规格型号、数量进行检验。</w:t>
      </w:r>
      <w:r>
        <w:rPr>
          <w:rFonts w:hint="eastAsia" w:ascii="宋体" w:hAnsi="宋体" w:eastAsia="宋体" w:cs="宋体"/>
          <w:bCs/>
          <w:color w:val="auto"/>
          <w:sz w:val="24"/>
          <w:szCs w:val="24"/>
        </w:rPr>
        <w:t>所提供的产品生产日期</w:t>
      </w:r>
      <w:r>
        <w:rPr>
          <w:rStyle w:val="10"/>
          <w:rFonts w:hint="eastAsia" w:ascii="宋体" w:hAnsi="宋体" w:eastAsia="宋体" w:cs="宋体"/>
          <w:sz w:val="24"/>
          <w:szCs w:val="24"/>
        </w:rPr>
        <w:t>国产设备应在自合同签署之日往前推算</w:t>
      </w:r>
      <w:r>
        <w:rPr>
          <w:rStyle w:val="10"/>
          <w:rFonts w:hint="eastAsia" w:ascii="宋体" w:hAnsi="宋体" w:eastAsia="宋体" w:cs="宋体"/>
          <w:sz w:val="24"/>
          <w:szCs w:val="24"/>
          <w:lang w:val="en-US" w:eastAsia="zh-CN"/>
        </w:rPr>
        <w:t>9</w:t>
      </w:r>
      <w:r>
        <w:rPr>
          <w:rStyle w:val="10"/>
          <w:rFonts w:hint="eastAsia" w:ascii="宋体" w:hAnsi="宋体" w:eastAsia="宋体" w:cs="宋体"/>
          <w:sz w:val="24"/>
          <w:szCs w:val="24"/>
        </w:rPr>
        <w:t>个月内</w:t>
      </w:r>
      <w:r>
        <w:rPr>
          <w:rStyle w:val="10"/>
          <w:rFonts w:hint="eastAsia" w:ascii="宋体" w:hAnsi="宋体" w:eastAsia="宋体" w:cs="宋体"/>
          <w:sz w:val="24"/>
          <w:szCs w:val="24"/>
          <w:lang w:eastAsia="zh-CN"/>
        </w:rPr>
        <w:t>，</w:t>
      </w:r>
      <w:r>
        <w:rPr>
          <w:rStyle w:val="10"/>
          <w:rFonts w:hint="eastAsia" w:ascii="宋体" w:hAnsi="宋体" w:eastAsia="宋体" w:cs="宋体"/>
          <w:sz w:val="24"/>
          <w:szCs w:val="24"/>
        </w:rPr>
        <w:t>进口设备应在自合同签署之日往前推算12个月内</w:t>
      </w:r>
      <w:r>
        <w:rPr>
          <w:rFonts w:hint="eastAsia" w:asciiTheme="minorEastAsia" w:hAnsiTheme="minorEastAsia" w:cstheme="minorEastAsia"/>
          <w:bCs/>
          <w:sz w:val="24"/>
          <w:lang w:eastAsia="zh-CN"/>
        </w:rPr>
        <w:t>。</w:t>
      </w:r>
      <w:r>
        <w:rPr>
          <w:rFonts w:hint="eastAsia" w:asciiTheme="minorEastAsia" w:hAnsiTheme="minorEastAsia" w:cstheme="minorEastAsia"/>
          <w:bCs/>
          <w:sz w:val="24"/>
        </w:rPr>
        <w:t>如在开箱检验中发现所交付的合同设备有短缺、损坏、不合格产品</w:t>
      </w:r>
      <w:r>
        <w:rPr>
          <w:rFonts w:hint="eastAsia" w:asciiTheme="minorEastAsia" w:hAnsiTheme="minorEastAsia" w:cstheme="minorEastAsia"/>
          <w:b w:val="0"/>
          <w:bCs w:val="0"/>
          <w:sz w:val="24"/>
        </w:rPr>
        <w:t>等或与</w:t>
      </w:r>
      <w:r>
        <w:rPr>
          <w:rFonts w:hint="eastAsia" w:asciiTheme="minorEastAsia" w:hAnsiTheme="minorEastAsia" w:cstheme="minorEastAsia"/>
          <w:bCs/>
          <w:sz w:val="24"/>
        </w:rPr>
        <w:t>合同、随机文件不相符的情</w:t>
      </w:r>
      <w:r>
        <w:rPr>
          <w:rFonts w:hint="eastAsia" w:asciiTheme="minorEastAsia" w:hAnsiTheme="minorEastAsia" w:cstheme="minorEastAsia"/>
          <w:bCs/>
          <w:color w:val="auto"/>
          <w:sz w:val="24"/>
        </w:rPr>
        <w:t>形</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乙方应于约定交货时间内、最长不超过交货截止时间5个工作日予以无条件补足</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更换,并承担由此造成的一切损失。待设备补足或更换后，甲乙双方重新对合同设备进行检验后再组织安装调试。</w:t>
      </w:r>
    </w:p>
    <w:p w14:paraId="4F49C640">
      <w:pPr>
        <w:tabs>
          <w:tab w:val="left" w:pos="1980"/>
        </w:tabs>
        <w:snapToGrid w:val="0"/>
        <w:spacing w:line="340" w:lineRule="exact"/>
        <w:ind w:firstLine="480" w:firstLineChars="200"/>
        <w:rPr>
          <w:rFonts w:asciiTheme="minorEastAsia" w:hAnsiTheme="minorEastAsia" w:cstheme="minorEastAsia"/>
          <w:bCs/>
          <w:color w:val="auto"/>
          <w:sz w:val="24"/>
        </w:rPr>
      </w:pPr>
      <w:r>
        <w:rPr>
          <w:rFonts w:hint="eastAsia" w:asciiTheme="minorEastAsia" w:hAnsiTheme="minorEastAsia" w:cstheme="minorEastAsia"/>
          <w:bCs/>
          <w:color w:val="auto"/>
          <w:sz w:val="24"/>
        </w:rPr>
        <w:t>（二）乙方应派专业工程师到现场进行安装、调试设备，并对相关人员进行培训。在安装过程中，甲方工程师负责对设备安装调试予以配合和相应的协调工作。</w:t>
      </w:r>
    </w:p>
    <w:p w14:paraId="428DFE7A">
      <w:pPr>
        <w:tabs>
          <w:tab w:val="left" w:pos="1980"/>
        </w:tabs>
        <w:snapToGrid w:val="0"/>
        <w:spacing w:line="340" w:lineRule="exact"/>
        <w:ind w:firstLine="480" w:firstLineChars="200"/>
        <w:rPr>
          <w:rFonts w:asciiTheme="minorEastAsia" w:hAnsiTheme="minorEastAsia" w:cstheme="minorEastAsia"/>
          <w:bCs/>
          <w:color w:val="auto"/>
          <w:sz w:val="24"/>
        </w:rPr>
      </w:pPr>
      <w:r>
        <w:rPr>
          <w:rFonts w:hint="eastAsia" w:asciiTheme="minorEastAsia" w:hAnsiTheme="minorEastAsia" w:cstheme="minorEastAsia"/>
          <w:bCs/>
          <w:color w:val="auto"/>
          <w:sz w:val="24"/>
        </w:rPr>
        <w:t>（三）乙方对设备所进行的</w:t>
      </w:r>
      <w:r>
        <w:rPr>
          <w:rFonts w:hint="eastAsia" w:asciiTheme="minorEastAsia" w:hAnsiTheme="minorEastAsia" w:cstheme="minorEastAsia"/>
          <w:bCs/>
          <w:color w:val="auto"/>
          <w:sz w:val="24"/>
          <w:highlight w:val="none"/>
        </w:rPr>
        <w:t>安装调试应与</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hint="eastAsia" w:asciiTheme="minorEastAsia" w:hAnsiTheme="minorEastAsia" w:cstheme="minorEastAsia"/>
          <w:bCs/>
          <w:color w:val="auto"/>
          <w:sz w:val="24"/>
          <w:highlight w:val="none"/>
        </w:rPr>
        <w:t>约定</w:t>
      </w:r>
      <w:r>
        <w:rPr>
          <w:rFonts w:hint="eastAsia" w:asciiTheme="minorEastAsia" w:hAnsiTheme="minorEastAsia" w:cstheme="minorEastAsia"/>
          <w:bCs/>
          <w:color w:val="auto"/>
          <w:sz w:val="24"/>
        </w:rPr>
        <w:t>的性能完全一致，且不能低于相应的国家标准及行业标准。安装调试完毕，双方根据</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hint="eastAsia" w:asciiTheme="minorEastAsia" w:hAnsiTheme="minorEastAsia" w:cstheme="minorEastAsia"/>
          <w:bCs/>
          <w:color w:val="auto"/>
          <w:sz w:val="24"/>
        </w:rPr>
        <w:t>的技术标准共同进行验收，乙方向甲方交付合同设备的质量合格证、保修单、使用说明书、维修手册等相关资料。在验收过程中，</w:t>
      </w:r>
      <w:r>
        <w:rPr>
          <w:rFonts w:hint="eastAsia" w:asciiTheme="minorEastAsia" w:hAnsiTheme="minorEastAsia" w:cstheme="minorEastAsia"/>
          <w:bCs/>
          <w:color w:val="auto"/>
          <w:sz w:val="24"/>
          <w:highlight w:val="none"/>
        </w:rPr>
        <w:t>如</w:t>
      </w:r>
      <w:r>
        <w:rPr>
          <w:rFonts w:hint="eastAsia" w:asciiTheme="minorEastAsia" w:hAnsiTheme="minorEastAsia" w:cstheme="minorEastAsia"/>
          <w:bCs/>
          <w:color w:val="auto"/>
          <w:sz w:val="24"/>
          <w:highlight w:val="none"/>
          <w:lang w:val="en-US" w:eastAsia="zh-CN"/>
        </w:rPr>
        <w:t>合同设备</w:t>
      </w:r>
      <w:r>
        <w:rPr>
          <w:rFonts w:hint="eastAsia" w:asciiTheme="minorEastAsia" w:hAnsiTheme="minorEastAsia" w:cstheme="minorEastAsia"/>
          <w:bCs/>
          <w:color w:val="auto"/>
          <w:sz w:val="24"/>
          <w:highlight w:val="none"/>
        </w:rPr>
        <w:t>的一项或数项指标未达到设备技术资料所规定要求，</w:t>
      </w:r>
      <w:r>
        <w:rPr>
          <w:rFonts w:hint="eastAsia" w:asciiTheme="minorEastAsia" w:hAnsiTheme="minorEastAsia" w:cstheme="minorEastAsia"/>
          <w:bCs/>
          <w:color w:val="auto"/>
          <w:sz w:val="24"/>
        </w:rPr>
        <w:t>乙方应于约定交货时间内、最长不超过交货截止时间5个工作日予以无条件补足</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更换,并承担由此造成的一切损失</w:t>
      </w:r>
      <w:r>
        <w:rPr>
          <w:rFonts w:hint="eastAsia" w:asciiTheme="minorEastAsia" w:hAnsiTheme="minorEastAsia" w:cstheme="minorEastAsia"/>
          <w:bCs/>
          <w:color w:val="auto"/>
          <w:sz w:val="24"/>
          <w:lang w:eastAsia="zh-CN"/>
        </w:rPr>
        <w:t>，</w:t>
      </w:r>
      <w:r>
        <w:rPr>
          <w:rFonts w:hint="eastAsia" w:asciiTheme="minorEastAsia" w:hAnsiTheme="minorEastAsia" w:cstheme="minorEastAsia"/>
          <w:bCs/>
          <w:color w:val="auto"/>
          <w:sz w:val="24"/>
        </w:rPr>
        <w:t>由此产生的费用由乙方承担。验收合格后，双方签署验收报告，并加盖公章确认</w:t>
      </w:r>
      <w:r>
        <w:rPr>
          <w:rFonts w:asciiTheme="minorEastAsia" w:hAnsiTheme="minorEastAsia" w:cstheme="minorEastAsia"/>
          <w:bCs/>
          <w:color w:val="auto"/>
          <w:sz w:val="24"/>
        </w:rPr>
        <w:t>。</w:t>
      </w:r>
      <w:r>
        <w:rPr>
          <w:rFonts w:hint="eastAsia" w:asciiTheme="minorEastAsia" w:hAnsiTheme="minorEastAsia" w:cstheme="minorEastAsia"/>
          <w:bCs/>
          <w:color w:val="auto"/>
          <w:sz w:val="24"/>
        </w:rPr>
        <w:t>验收报告仅证明乙方所提供的</w:t>
      </w:r>
      <w:r>
        <w:rPr>
          <w:rFonts w:hint="eastAsia" w:asciiTheme="minorEastAsia" w:hAnsiTheme="minorEastAsia" w:cstheme="minorEastAsia"/>
          <w:bCs/>
          <w:color w:val="auto"/>
          <w:sz w:val="24"/>
          <w:highlight w:val="none"/>
          <w:lang w:eastAsia="zh-Hans"/>
        </w:rPr>
        <w:t>设备</w:t>
      </w:r>
      <w:r>
        <w:rPr>
          <w:rFonts w:hint="eastAsia" w:asciiTheme="minorEastAsia" w:hAnsiTheme="minorEastAsia" w:cstheme="minorEastAsia"/>
          <w:bCs/>
          <w:color w:val="auto"/>
          <w:sz w:val="24"/>
        </w:rPr>
        <w:t>截</w:t>
      </w:r>
      <w:r>
        <w:rPr>
          <w:rFonts w:hint="eastAsia" w:ascii="宋体" w:hAnsi="宋体" w:cs="宋体"/>
          <w:bCs/>
          <w:color w:val="auto"/>
          <w:sz w:val="24"/>
          <w:highlight w:val="none"/>
          <w:lang w:val="en-US" w:eastAsia="zh-Hans"/>
        </w:rPr>
        <w:t>止</w:t>
      </w:r>
      <w:r>
        <w:rPr>
          <w:rFonts w:hint="eastAsia" w:asciiTheme="minorEastAsia" w:hAnsiTheme="minorEastAsia" w:cstheme="minorEastAsia"/>
          <w:bCs/>
          <w:color w:val="auto"/>
          <w:sz w:val="24"/>
        </w:rPr>
        <w:t>出具检验报告之日时可以按</w:t>
      </w:r>
      <w:r>
        <w:rPr>
          <w:rFonts w:hint="eastAsia" w:asciiTheme="minorEastAsia" w:hAnsiTheme="minorEastAsia" w:cstheme="minorEastAsia"/>
          <w:bCs/>
          <w:color w:val="auto"/>
          <w:sz w:val="24"/>
          <w:szCs w:val="24"/>
          <w:lang w:val="en-US" w:eastAsia="zh-Hans"/>
        </w:rPr>
        <w:t>招标</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文件</w:t>
      </w:r>
      <w:r>
        <w:rPr>
          <w:rFonts w:asciiTheme="minorEastAsia" w:hAnsiTheme="minorEastAsia" w:cstheme="minorEastAsia"/>
          <w:bCs/>
          <w:color w:val="auto"/>
          <w:sz w:val="24"/>
          <w:lang w:eastAsia="zh-Hans"/>
        </w:rPr>
        <w:t>、</w:t>
      </w:r>
      <w:r>
        <w:rPr>
          <w:rFonts w:hint="eastAsia" w:asciiTheme="minorEastAsia" w:hAnsiTheme="minorEastAsia" w:cstheme="minorEastAsia"/>
          <w:bCs/>
          <w:color w:val="auto"/>
          <w:sz w:val="24"/>
        </w:rPr>
        <w:t>合同要求予以接受，但不能视为乙方对</w:t>
      </w:r>
      <w:r>
        <w:rPr>
          <w:rFonts w:hint="eastAsia" w:asciiTheme="minorEastAsia" w:hAnsiTheme="minorEastAsia" w:cstheme="minorEastAsia"/>
          <w:bCs/>
          <w:color w:val="auto"/>
          <w:sz w:val="24"/>
          <w:lang w:eastAsia="zh-Hans"/>
        </w:rPr>
        <w:t>设备</w:t>
      </w:r>
      <w:r>
        <w:rPr>
          <w:rFonts w:hint="eastAsia" w:asciiTheme="minorEastAsia" w:hAnsiTheme="minorEastAsia" w:cstheme="minorEastAsia"/>
          <w:bCs/>
          <w:color w:val="auto"/>
          <w:sz w:val="24"/>
        </w:rPr>
        <w:t>存在的潜在</w:t>
      </w:r>
      <w:r>
        <w:rPr>
          <w:rFonts w:hint="eastAsia" w:asciiTheme="minorEastAsia" w:hAnsiTheme="minorEastAsia" w:cstheme="minorEastAsia"/>
          <w:bCs/>
          <w:color w:val="auto"/>
          <w:sz w:val="24"/>
          <w:lang w:eastAsia="zh-Hans"/>
        </w:rPr>
        <w:t>质量</w:t>
      </w:r>
      <w:r>
        <w:rPr>
          <w:rFonts w:hint="eastAsia" w:asciiTheme="minorEastAsia" w:hAnsiTheme="minorEastAsia" w:cstheme="minorEastAsia"/>
          <w:bCs/>
          <w:color w:val="auto"/>
          <w:sz w:val="24"/>
        </w:rPr>
        <w:t>缺陷</w:t>
      </w:r>
      <w:r>
        <w:rPr>
          <w:rFonts w:hint="eastAsia" w:asciiTheme="minorEastAsia" w:hAnsiTheme="minorEastAsia" w:cstheme="minorEastAsia"/>
          <w:bCs/>
          <w:color w:val="auto"/>
          <w:sz w:val="24"/>
          <w:highlight w:val="none"/>
          <w:lang w:val="en-US" w:eastAsia="zh-CN"/>
        </w:rPr>
        <w:t>所应负的责任的</w:t>
      </w:r>
      <w:r>
        <w:rPr>
          <w:rFonts w:hint="eastAsia" w:asciiTheme="minorEastAsia" w:hAnsiTheme="minorEastAsia" w:cstheme="minorEastAsia"/>
          <w:bCs/>
          <w:color w:val="auto"/>
          <w:sz w:val="24"/>
        </w:rPr>
        <w:t>解除</w:t>
      </w:r>
      <w:r>
        <w:rPr>
          <w:rFonts w:asciiTheme="minorEastAsia" w:hAnsiTheme="minorEastAsia" w:cstheme="minorEastAsia"/>
          <w:bCs/>
          <w:color w:val="auto"/>
          <w:sz w:val="24"/>
        </w:rPr>
        <w:t>，</w:t>
      </w:r>
      <w:r>
        <w:rPr>
          <w:rFonts w:hint="eastAsia" w:asciiTheme="minorEastAsia" w:hAnsiTheme="minorEastAsia" w:cstheme="minorEastAsia"/>
          <w:bCs/>
          <w:color w:val="auto"/>
          <w:sz w:val="24"/>
        </w:rPr>
        <w:t>此</w:t>
      </w:r>
      <w:r>
        <w:rPr>
          <w:rFonts w:hint="eastAsia" w:asciiTheme="minorEastAsia" w:hAnsiTheme="minorEastAsia" w:cstheme="minorEastAsia"/>
          <w:bCs/>
          <w:color w:val="auto"/>
          <w:sz w:val="24"/>
          <w:lang w:eastAsia="zh-Hans"/>
        </w:rPr>
        <w:t>验收报告</w:t>
      </w:r>
      <w:r>
        <w:rPr>
          <w:rFonts w:hint="eastAsia" w:asciiTheme="minorEastAsia" w:hAnsiTheme="minorEastAsia" w:cstheme="minorEastAsia"/>
          <w:bCs/>
          <w:color w:val="auto"/>
          <w:sz w:val="24"/>
        </w:rPr>
        <w:t>不作为对</w:t>
      </w:r>
      <w:r>
        <w:rPr>
          <w:rFonts w:hint="eastAsia" w:asciiTheme="minorEastAsia" w:hAnsiTheme="minorEastAsia" w:cstheme="minorEastAsia"/>
          <w:bCs/>
          <w:color w:val="auto"/>
          <w:sz w:val="24"/>
          <w:lang w:eastAsia="zh-Hans"/>
        </w:rPr>
        <w:t>设备</w:t>
      </w:r>
      <w:r>
        <w:rPr>
          <w:rFonts w:hint="eastAsia" w:asciiTheme="minorEastAsia" w:hAnsiTheme="minorEastAsia" w:cstheme="minorEastAsia"/>
          <w:bCs/>
          <w:color w:val="auto"/>
          <w:sz w:val="24"/>
        </w:rPr>
        <w:t>质量认定的依据。</w:t>
      </w:r>
    </w:p>
    <w:p w14:paraId="50A6F322">
      <w:pPr>
        <w:tabs>
          <w:tab w:val="left" w:pos="1980"/>
        </w:tabs>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color w:val="auto"/>
          <w:sz w:val="24"/>
        </w:rPr>
        <w:t>（四）验收标准以</w:t>
      </w:r>
      <w:r>
        <w:rPr>
          <w:rFonts w:hint="eastAsia" w:asciiTheme="minorEastAsia" w:hAnsiTheme="minorEastAsia" w:eastAsiaTheme="minorEastAsia" w:cstheme="minorEastAsia"/>
          <w:bCs/>
          <w:color w:val="auto"/>
          <w:sz w:val="24"/>
          <w:szCs w:val="24"/>
        </w:rPr>
        <w:t>招标</w:t>
      </w:r>
      <w:r>
        <w:rPr>
          <w:rFonts w:hint="default" w:asciiTheme="minorEastAsia" w:hAnsiTheme="minorEastAsia" w:cstheme="minorEastAsia"/>
          <w:bCs/>
          <w:color w:val="auto"/>
          <w:sz w:val="24"/>
          <w:szCs w:val="24"/>
        </w:rPr>
        <w:t>（</w:t>
      </w:r>
      <w:r>
        <w:rPr>
          <w:rFonts w:hint="eastAsia" w:asciiTheme="minorEastAsia" w:hAnsiTheme="minorEastAsia" w:cstheme="minorEastAsia"/>
          <w:bCs/>
          <w:color w:val="auto"/>
          <w:sz w:val="24"/>
          <w:szCs w:val="24"/>
          <w:lang w:val="en-US" w:eastAsia="zh-Hans"/>
        </w:rPr>
        <w:t>磋商</w:t>
      </w:r>
      <w:r>
        <w:rPr>
          <w:rFonts w:hint="default" w:asciiTheme="minorEastAsia" w:hAnsiTheme="minorEastAsia" w:cstheme="minorEastAsia"/>
          <w:bCs/>
          <w:color w:val="auto"/>
          <w:sz w:val="24"/>
          <w:szCs w:val="24"/>
        </w:rPr>
        <w:t>）</w:t>
      </w:r>
      <w:r>
        <w:rPr>
          <w:rFonts w:hint="eastAsia" w:asciiTheme="minorEastAsia" w:hAnsiTheme="minorEastAsia" w:eastAsiaTheme="minorEastAsia" w:cstheme="minorEastAsia"/>
          <w:bCs/>
          <w:color w:val="auto"/>
          <w:sz w:val="24"/>
          <w:szCs w:val="24"/>
        </w:rPr>
        <w:t>文件</w:t>
      </w:r>
      <w:r>
        <w:rPr>
          <w:rFonts w:hint="eastAsia" w:asciiTheme="minorEastAsia" w:hAnsiTheme="minorEastAsia" w:cstheme="minorEastAsia"/>
          <w:bCs/>
          <w:color w:val="auto"/>
          <w:sz w:val="24"/>
        </w:rPr>
        <w:t>技术参数及要求和相关行业标准为</w:t>
      </w:r>
      <w:r>
        <w:rPr>
          <w:rFonts w:hint="eastAsia" w:asciiTheme="minorEastAsia" w:hAnsiTheme="minorEastAsia" w:cstheme="minorEastAsia"/>
          <w:bCs/>
          <w:sz w:val="24"/>
        </w:rPr>
        <w:t>准，</w:t>
      </w:r>
      <w:r>
        <w:rPr>
          <w:rFonts w:hint="eastAsia" w:asciiTheme="minorEastAsia" w:hAnsiTheme="minorEastAsia" w:cstheme="minorEastAsia"/>
          <w:bCs/>
          <w:color w:val="000000" w:themeColor="text1"/>
          <w:sz w:val="24"/>
          <w:lang w:val="en-US" w:eastAsia="zh-CN"/>
          <w14:textFill>
            <w14:solidFill>
              <w14:schemeClr w14:val="tx1"/>
            </w14:solidFill>
          </w14:textFill>
        </w:rPr>
        <w:t>属于强检或需要校准的设备，</w:t>
      </w:r>
      <w:r>
        <w:rPr>
          <w:rFonts w:hint="eastAsia" w:asciiTheme="minorEastAsia" w:hAnsiTheme="minorEastAsia" w:cstheme="minorEastAsia"/>
          <w:bCs/>
          <w:sz w:val="24"/>
        </w:rPr>
        <w:t>安装后第一次计量检定费用由乙方承担，若达不到标准甲方可以要求退货或者换货。</w:t>
      </w:r>
    </w:p>
    <w:p w14:paraId="7736385A">
      <w:pPr>
        <w:tabs>
          <w:tab w:val="left" w:pos="1980"/>
        </w:tabs>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（五）提供的资料</w:t>
      </w:r>
    </w:p>
    <w:p w14:paraId="0A6F90B7">
      <w:pPr>
        <w:tabs>
          <w:tab w:val="left" w:pos="1980"/>
        </w:tabs>
        <w:snapToGrid w:val="0"/>
        <w:spacing w:line="340" w:lineRule="exact"/>
        <w:ind w:firstLine="720" w:firstLineChars="300"/>
        <w:rPr>
          <w:rFonts w:hint="eastAsia" w:asciiTheme="minorEastAsia" w:hAnsiTheme="minorEastAsia" w:eastAsiaTheme="minorEastAsia" w:cstheme="minorEastAsia"/>
          <w:bCs/>
          <w:sz w:val="24"/>
          <w:lang w:eastAsia="zh-CN"/>
        </w:rPr>
      </w:pPr>
      <w:r>
        <w:rPr>
          <w:rFonts w:hint="eastAsia" w:asciiTheme="minorEastAsia" w:hAnsiTheme="minorEastAsia" w:cstheme="minorEastAsia"/>
          <w:bCs/>
          <w:sz w:val="24"/>
          <w:lang w:val="en-US" w:eastAsia="zh-CN"/>
        </w:rPr>
        <w:t>1</w:t>
      </w:r>
      <w:r>
        <w:rPr>
          <w:rFonts w:asciiTheme="minorEastAsia" w:hAnsiTheme="minorEastAsia" w:cstheme="minorEastAsia"/>
          <w:bCs/>
          <w:sz w:val="24"/>
        </w:rPr>
        <w:t>、</w:t>
      </w:r>
      <w:r>
        <w:rPr>
          <w:rFonts w:hint="eastAsia" w:asciiTheme="minorEastAsia" w:hAnsiTheme="minorEastAsia" w:cstheme="minorEastAsia"/>
          <w:bCs/>
          <w:sz w:val="24"/>
        </w:rPr>
        <w:t>提供主机及配套设备的相关技术资料</w:t>
      </w:r>
      <w:r>
        <w:rPr>
          <w:rFonts w:hint="eastAsia" w:asciiTheme="minorEastAsia" w:hAnsiTheme="minorEastAsia" w:cstheme="minorEastAsia"/>
          <w:bCs/>
          <w:sz w:val="24"/>
          <w:lang w:eastAsia="zh-CN"/>
        </w:rPr>
        <w:t>。</w:t>
      </w:r>
    </w:p>
    <w:p w14:paraId="03F13D74">
      <w:pPr>
        <w:tabs>
          <w:tab w:val="left" w:pos="1980"/>
        </w:tabs>
        <w:snapToGrid w:val="0"/>
        <w:spacing w:line="340" w:lineRule="exact"/>
        <w:ind w:firstLine="720" w:firstLineChars="300"/>
        <w:rPr>
          <w:rFonts w:asciiTheme="minorEastAsia" w:hAnsiTheme="minorEastAsia" w:cstheme="minorEastAsia"/>
          <w:bCs/>
          <w:sz w:val="24"/>
        </w:rPr>
      </w:pPr>
      <w:r>
        <w:rPr>
          <w:rFonts w:hint="eastAsia" w:asciiTheme="minorEastAsia" w:hAnsiTheme="minorEastAsia" w:cstheme="minorEastAsia"/>
          <w:bCs/>
          <w:sz w:val="24"/>
          <w:lang w:val="en-US" w:eastAsia="zh-CN"/>
        </w:rPr>
        <w:t>2</w:t>
      </w:r>
      <w:r>
        <w:rPr>
          <w:rFonts w:asciiTheme="minorEastAsia" w:hAnsiTheme="minorEastAsia" w:cstheme="minorEastAsia"/>
          <w:bCs/>
          <w:sz w:val="24"/>
        </w:rPr>
        <w:t>、</w:t>
      </w:r>
      <w:r>
        <w:rPr>
          <w:rFonts w:hint="eastAsia" w:asciiTheme="minorEastAsia" w:hAnsiTheme="minorEastAsia" w:cstheme="minorEastAsia"/>
          <w:bCs/>
          <w:sz w:val="24"/>
        </w:rPr>
        <w:t>进口产品按要求提供报关单、完税证明，属商检产品提供商检报告。</w:t>
      </w:r>
    </w:p>
    <w:p w14:paraId="22382084">
      <w:pPr>
        <w:tabs>
          <w:tab w:val="left" w:pos="1980"/>
        </w:tabs>
        <w:snapToGrid w:val="0"/>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Cs/>
          <w:sz w:val="24"/>
        </w:rPr>
        <w:t>（六）安装调试设备完后及时清理现场垃圾。</w:t>
      </w:r>
    </w:p>
    <w:p w14:paraId="50CF7BF2">
      <w:pPr>
        <w:tabs>
          <w:tab w:val="left" w:pos="1980"/>
        </w:tabs>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四、质量保证和售后服务</w:t>
      </w:r>
    </w:p>
    <w:p w14:paraId="4925B3D3">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val="en-US" w:eastAsia="zh-CN"/>
        </w:rPr>
        <w:t>（一）</w:t>
      </w:r>
      <w:r>
        <w:rPr>
          <w:rFonts w:hint="eastAsia" w:asciiTheme="minorEastAsia" w:hAnsiTheme="minorEastAsia" w:eastAsiaTheme="minorEastAsia" w:cstheme="minorEastAsia"/>
          <w:bCs/>
          <w:sz w:val="24"/>
          <w:szCs w:val="24"/>
        </w:rPr>
        <w:t>乙方保证提供的设备必须为正规渠道销售的设备，并为全新未使用过的。设备必须符合国家检测标准，乙方承诺所供设备与成交所示设备明细完全一致，不存在任何偏差。</w:t>
      </w:r>
    </w:p>
    <w:p w14:paraId="58386BCD">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二</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如因设备的质量问题发生纠纷，应由</w:t>
      </w:r>
      <w:r>
        <w:rPr>
          <w:rFonts w:hint="eastAsia" w:ascii="宋体" w:hAnsi="宋体" w:eastAsia="宋体" w:cs="宋体"/>
          <w:bCs/>
          <w:color w:val="auto"/>
          <w:sz w:val="24"/>
          <w:szCs w:val="24"/>
          <w:lang w:val="en-US" w:eastAsia="zh-Hans"/>
        </w:rPr>
        <w:t>具有鉴定资质的鉴定机构</w:t>
      </w:r>
      <w:r>
        <w:rPr>
          <w:rFonts w:hint="eastAsia" w:asciiTheme="minorEastAsia" w:hAnsiTheme="minorEastAsia" w:eastAsiaTheme="minorEastAsia" w:cstheme="minorEastAsia"/>
          <w:bCs/>
          <w:color w:val="auto"/>
          <w:sz w:val="24"/>
          <w:szCs w:val="24"/>
        </w:rPr>
        <w:t>进行质量鉴定，鉴定费用由</w:t>
      </w:r>
      <w:r>
        <w:rPr>
          <w:rFonts w:hint="eastAsia" w:asciiTheme="minorEastAsia" w:hAnsiTheme="minorEastAsia" w:cstheme="minorEastAsia"/>
          <w:bCs/>
          <w:color w:val="auto"/>
          <w:sz w:val="24"/>
          <w:szCs w:val="24"/>
          <w:lang w:val="en-US" w:eastAsia="zh-Hans"/>
        </w:rPr>
        <w:t>乙方</w:t>
      </w:r>
      <w:r>
        <w:rPr>
          <w:rFonts w:hint="eastAsia" w:asciiTheme="minorEastAsia" w:hAnsiTheme="minorEastAsia" w:eastAsiaTheme="minorEastAsia" w:cstheme="minorEastAsia"/>
          <w:bCs/>
          <w:color w:val="auto"/>
          <w:sz w:val="24"/>
          <w:szCs w:val="24"/>
        </w:rPr>
        <w:t>承担。</w:t>
      </w:r>
    </w:p>
    <w:p w14:paraId="6D5C8BBE">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三</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乙方保证合同设备不侵犯任何第三方的专利、商标或版权。否则，乙方须承担由此对第三方的专利或版权的侵权责任并承担因此而发生的所有费用。</w:t>
      </w:r>
    </w:p>
    <w:p w14:paraId="103EA74F">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四</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w:t>
      </w:r>
      <w:r>
        <w:rPr>
          <w:rFonts w:hint="eastAsia" w:asciiTheme="minorEastAsia" w:hAnsiTheme="minorEastAsia" w:eastAsiaTheme="minorEastAsia" w:cstheme="minorEastAsia"/>
          <w:bCs/>
          <w:color w:val="auto"/>
          <w:sz w:val="24"/>
          <w:szCs w:val="24"/>
          <w:lang w:val="en-US" w:eastAsia="zh-CN"/>
        </w:rPr>
        <w:t>负责</w:t>
      </w:r>
      <w:r>
        <w:rPr>
          <w:rFonts w:hint="eastAsia" w:asciiTheme="minorEastAsia" w:hAnsiTheme="minorEastAsia" w:eastAsiaTheme="minorEastAsia" w:cstheme="minorEastAsia"/>
          <w:bCs/>
          <w:color w:val="auto"/>
          <w:sz w:val="24"/>
          <w:szCs w:val="24"/>
        </w:rPr>
        <w:t>指导和培训甲方维修及使用</w:t>
      </w:r>
      <w:r>
        <w:rPr>
          <w:rFonts w:hint="eastAsia" w:asciiTheme="minorEastAsia" w:hAnsiTheme="minorEastAsia" w:eastAsiaTheme="minorEastAsia" w:cstheme="minorEastAsia"/>
          <w:bCs/>
          <w:color w:val="auto"/>
          <w:sz w:val="24"/>
          <w:szCs w:val="24"/>
          <w:lang w:val="en-US" w:eastAsia="zh-CN"/>
        </w:rPr>
        <w:t>规范</w:t>
      </w:r>
      <w:r>
        <w:rPr>
          <w:rFonts w:hint="eastAsia" w:asciiTheme="minorEastAsia" w:hAnsiTheme="minorEastAsia" w:eastAsiaTheme="minorEastAsia" w:cstheme="minorEastAsia"/>
          <w:bCs/>
          <w:color w:val="auto"/>
          <w:sz w:val="24"/>
          <w:szCs w:val="24"/>
        </w:rPr>
        <w:t>，主要内容为设备的基本结构、性能、主要部件的构造及修理，日常使用保养与管理，常见故障的排除、紧急情况的处理等，培训地点在设备安装现场或按甲方安排。</w:t>
      </w:r>
    </w:p>
    <w:p w14:paraId="658677F1">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五</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乙方提供</w:t>
      </w:r>
      <w:r>
        <w:rPr>
          <w:rFonts w:hint="eastAsia" w:asciiTheme="minorEastAsia" w:hAnsiTheme="minorEastAsia" w:eastAsiaTheme="minorEastAsia" w:cstheme="minorEastAsia"/>
          <w:bCs/>
          <w:color w:val="auto"/>
          <w:sz w:val="24"/>
          <w:szCs w:val="24"/>
          <w:u w:val="thick"/>
          <w:lang w:val="en-US" w:eastAsia="zh-CN"/>
        </w:rPr>
        <w:t xml:space="preserve">      </w:t>
      </w:r>
      <w:r>
        <w:rPr>
          <w:rFonts w:hint="eastAsia" w:asciiTheme="minorEastAsia" w:hAnsiTheme="minorEastAsia" w:cstheme="minorEastAsia"/>
          <w:bCs/>
          <w:color w:val="auto"/>
          <w:sz w:val="24"/>
          <w:szCs w:val="24"/>
          <w:u w:val="thick"/>
          <w:lang w:val="en-US" w:eastAsia="zh-CN"/>
        </w:rPr>
        <w:t xml:space="preserve">  </w:t>
      </w:r>
      <w:r>
        <w:rPr>
          <w:rFonts w:hint="eastAsia" w:asciiTheme="minorEastAsia" w:hAnsiTheme="minorEastAsia" w:eastAsiaTheme="minorEastAsia" w:cstheme="minorEastAsia"/>
          <w:bCs/>
          <w:color w:val="auto"/>
          <w:sz w:val="24"/>
          <w:szCs w:val="24"/>
        </w:rPr>
        <w:t>的质保期，从设备安装验收合格之日算起。在此期间所有维修费用由乙方承担。生产厂家若提供更长的保修期限，应由生产厂家出具盖章的售后服务承诺函及厂家资质材料。</w:t>
      </w:r>
    </w:p>
    <w:p w14:paraId="37636C4B">
      <w:pPr>
        <w:keepNext w:val="0"/>
        <w:keepLines w:val="0"/>
        <w:pageBreakBefore w:val="0"/>
        <w:tabs>
          <w:tab w:val="left" w:pos="1980"/>
        </w:tabs>
        <w:kinsoku/>
        <w:wordWrap/>
        <w:overflowPunct/>
        <w:topLinePunct w:val="0"/>
        <w:autoSpaceDE/>
        <w:autoSpaceDN/>
        <w:bidi w:val="0"/>
        <w:adjustRightInd/>
        <w:snapToGrid w:val="0"/>
        <w:spacing w:line="340" w:lineRule="exact"/>
        <w:ind w:left="0" w:leftChars="0" w:right="0" w:rightChars="0" w:firstLine="480" w:firstLineChars="200"/>
        <w:jc w:val="both"/>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Hans"/>
        </w:rPr>
        <w:t>六</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乙方接到甲方设备故障报修，须在24小时内到现场检修（不可抗力</w:t>
      </w:r>
      <w:r>
        <w:rPr>
          <w:rFonts w:hint="eastAsia" w:asciiTheme="minorEastAsia" w:hAnsiTheme="minorEastAsia" w:cstheme="minorEastAsia"/>
          <w:bCs/>
          <w:color w:val="auto"/>
          <w:sz w:val="24"/>
          <w:szCs w:val="24"/>
          <w:lang w:val="en-US" w:eastAsia="zh-Hans"/>
        </w:rPr>
        <w:t>因素</w:t>
      </w:r>
      <w:r>
        <w:rPr>
          <w:rFonts w:hint="eastAsia" w:asciiTheme="minorEastAsia" w:hAnsiTheme="minorEastAsia" w:eastAsiaTheme="minorEastAsia" w:cstheme="minorEastAsia"/>
          <w:bCs/>
          <w:color w:val="auto"/>
          <w:sz w:val="24"/>
          <w:szCs w:val="24"/>
        </w:rPr>
        <w:t>除外），迅速解决问题。如因乙方无法及时到场检修或者不配合进行检修，甲方有权聘请第三方进行检修，由此产生的费用由乙方承担。</w:t>
      </w:r>
    </w:p>
    <w:p w14:paraId="6E6683EE">
      <w:pPr>
        <w:tabs>
          <w:tab w:val="left" w:pos="1980"/>
        </w:tabs>
        <w:snapToGrid w:val="0"/>
        <w:spacing w:line="340" w:lineRule="exact"/>
        <w:ind w:right="0" w:rightChars="0" w:firstLine="480" w:firstLineChars="200"/>
        <w:rPr>
          <w:rFonts w:hint="eastAsia" w:ascii="宋体" w:hAnsi="宋体" w:cs="宋体" w:eastAsiaTheme="minorEastAsia"/>
          <w:bCs/>
          <w:color w:val="auto"/>
          <w:sz w:val="24"/>
          <w:highlight w:val="none"/>
          <w:lang w:val="en-US" w:eastAsia="zh-CN"/>
        </w:rPr>
      </w:pPr>
      <w:r>
        <w:rPr>
          <w:rFonts w:hint="eastAsia" w:ascii="宋体" w:hAnsi="宋体" w:cs="宋体"/>
          <w:bCs/>
          <w:sz w:val="24"/>
          <w:lang w:eastAsia="zh-CN"/>
        </w:rPr>
        <w:t>（</w:t>
      </w:r>
      <w:r>
        <w:rPr>
          <w:rFonts w:hint="eastAsia" w:ascii="宋体" w:hAnsi="宋体" w:cs="宋体"/>
          <w:bCs/>
          <w:sz w:val="24"/>
          <w:lang w:val="en-US" w:eastAsia="zh-Hans"/>
        </w:rPr>
        <w:t>七</w:t>
      </w:r>
      <w:r>
        <w:rPr>
          <w:rFonts w:hint="eastAsia" w:ascii="宋体" w:hAnsi="宋体" w:cs="宋体"/>
          <w:bCs/>
          <w:sz w:val="24"/>
          <w:lang w:eastAsia="zh-CN"/>
        </w:rPr>
        <w:t>）</w:t>
      </w:r>
      <w:r>
        <w:rPr>
          <w:rFonts w:hint="eastAsia" w:asciiTheme="minorEastAsia" w:hAnsiTheme="minorEastAsia" w:cstheme="minorEastAsia"/>
          <w:b w:val="0"/>
          <w:bCs w:val="0"/>
          <w:color w:val="auto"/>
          <w:sz w:val="24"/>
          <w:highlight w:val="none"/>
        </w:rPr>
        <w:t>乙方保证年开机率大于95％（按365天计算），若≤95％则每少一天，相应延长保修期七天。</w:t>
      </w:r>
      <w:r>
        <w:rPr>
          <w:rFonts w:hint="eastAsia" w:ascii="宋体" w:hAnsi="宋体" w:cs="宋体"/>
          <w:bCs/>
          <w:color w:val="auto"/>
          <w:sz w:val="24"/>
          <w:highlight w:val="none"/>
        </w:rPr>
        <w:t>保修期满后，乙方可以继续为设备提供有偿维修服务。</w:t>
      </w:r>
    </w:p>
    <w:p w14:paraId="36AD073E">
      <w:pPr>
        <w:tabs>
          <w:tab w:val="left" w:pos="1980"/>
        </w:tabs>
        <w:snapToGrid w:val="0"/>
        <w:spacing w:line="340" w:lineRule="exact"/>
        <w:ind w:right="0" w:rightChars="0" w:firstLine="480" w:firstLineChars="200"/>
        <w:rPr>
          <w:rFonts w:hint="eastAsia" w:eastAsiaTheme="minorEastAsia"/>
          <w:lang w:eastAsia="zh-CN"/>
        </w:rPr>
      </w:pPr>
      <w:r>
        <w:rPr>
          <w:rFonts w:hint="eastAsia" w:hAnsi="宋体" w:cs="宋体"/>
          <w:bCs/>
          <w:color w:val="auto"/>
          <w:sz w:val="24"/>
          <w:highlight w:val="none"/>
          <w:lang w:eastAsia="zh-CN"/>
        </w:rPr>
        <w:t>（</w:t>
      </w:r>
      <w:r>
        <w:rPr>
          <w:rFonts w:hint="eastAsia" w:hAnsi="宋体" w:cs="宋体"/>
          <w:bCs/>
          <w:color w:val="auto"/>
          <w:sz w:val="24"/>
          <w:highlight w:val="none"/>
          <w:lang w:val="en-US" w:eastAsia="zh-CN"/>
        </w:rPr>
        <w:t>八</w:t>
      </w:r>
      <w:r>
        <w:rPr>
          <w:rFonts w:hint="eastAsia" w:hAnsi="宋体" w:cs="宋体"/>
          <w:bCs/>
          <w:color w:val="auto"/>
          <w:sz w:val="24"/>
          <w:highlight w:val="none"/>
          <w:lang w:eastAsia="zh-CN"/>
        </w:rPr>
        <w:t>）</w:t>
      </w:r>
      <w:r>
        <w:rPr>
          <w:rFonts w:hint="eastAsia" w:asciiTheme="minorEastAsia" w:hAnsiTheme="minorEastAsia" w:eastAsiaTheme="minorEastAsia" w:cstheme="minorEastAsia"/>
          <w:color w:val="auto"/>
          <w:sz w:val="24"/>
          <w:szCs w:val="24"/>
          <w:lang w:val="en-US" w:eastAsia="zh-CN"/>
        </w:rPr>
        <w:t>乙方</w:t>
      </w:r>
      <w:r>
        <w:rPr>
          <w:rFonts w:hint="eastAsia" w:asciiTheme="minorEastAsia" w:hAnsiTheme="minorEastAsia" w:cstheme="minorEastAsia"/>
          <w:color w:val="auto"/>
          <w:sz w:val="24"/>
          <w:szCs w:val="24"/>
          <w:lang w:val="en-US" w:eastAsia="zh-CN"/>
        </w:rPr>
        <w:t>应</w:t>
      </w:r>
      <w:r>
        <w:rPr>
          <w:rFonts w:hint="eastAsia" w:asciiTheme="minorEastAsia" w:hAnsiTheme="minorEastAsia" w:eastAsiaTheme="minorEastAsia" w:cstheme="minorEastAsia"/>
          <w:color w:val="auto"/>
          <w:sz w:val="24"/>
          <w:szCs w:val="24"/>
          <w:lang w:val="en-US" w:eastAsia="zh-CN"/>
        </w:rPr>
        <w:t>完全遵守《中华人民共和国劳动法》关于性别平等的相关规定和《中华人民共和国妇女权益保障法》中关于“劳动和社会保障权益”的有关要求。</w:t>
      </w:r>
    </w:p>
    <w:p w14:paraId="573BCC75">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五、付款方式</w:t>
      </w:r>
    </w:p>
    <w:p w14:paraId="73D7E884">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合同签订后,设备到货，正式验收合格后，乙方按照法律规定出具等额税费票据、验收合格单、合同总价款5%的银行保函原件（银行保函需可提供线上查询或在海南本地银行开具，期限：在保修期基础上延长三个月）及合同等相关凭证，甲方收到乙方上述付款材料后15个工作日内，向</w:t>
      </w:r>
      <w:r>
        <w:rPr>
          <w:rFonts w:hint="eastAsia" w:hAnsi="宋体" w:cs="宋体"/>
          <w:sz w:val="24"/>
          <w:szCs w:val="24"/>
          <w:lang w:val="en-US" w:eastAsia="zh-CN"/>
        </w:rPr>
        <w:t>乙方支付</w:t>
      </w:r>
      <w:r>
        <w:rPr>
          <w:rFonts w:hint="eastAsia" w:ascii="宋体" w:hAnsi="宋体" w:eastAsia="宋体" w:cs="宋体"/>
          <w:sz w:val="24"/>
          <w:szCs w:val="24"/>
          <w:lang w:val="en-US" w:eastAsia="zh-CN"/>
        </w:rPr>
        <w:t>合同总价款的</w:t>
      </w:r>
      <w:r>
        <w:rPr>
          <w:rFonts w:hint="eastAsia" w:hAnsi="宋体" w:cs="宋体"/>
          <w:sz w:val="24"/>
          <w:szCs w:val="24"/>
          <w:lang w:val="en-US" w:eastAsia="zh-CN"/>
        </w:rPr>
        <w:t>100</w:t>
      </w:r>
      <w:r>
        <w:rPr>
          <w:rFonts w:hint="eastAsia" w:ascii="宋体" w:hAnsi="宋体" w:eastAsia="宋体" w:cs="宋体"/>
          <w:sz w:val="24"/>
          <w:szCs w:val="24"/>
          <w:lang w:val="en-US" w:eastAsia="zh-CN"/>
        </w:rPr>
        <w:t>%支付至乙方指定账户；</w:t>
      </w:r>
    </w:p>
    <w:p w14:paraId="1590AB82">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w:t>
      </w:r>
      <w:r>
        <w:rPr>
          <w:rFonts w:hint="eastAsia" w:asciiTheme="minorEastAsia" w:hAnsiTheme="minorEastAsia" w:eastAsiaTheme="minorEastAsia" w:cstheme="minorEastAsia"/>
          <w:bCs/>
          <w:color w:val="auto"/>
          <w:sz w:val="24"/>
          <w:szCs w:val="24"/>
        </w:rPr>
        <w:t>开具的5%银行质量保函有效期为：</w:t>
      </w:r>
      <w:r>
        <w:rPr>
          <w:rFonts w:hint="eastAsia" w:asciiTheme="minorEastAsia" w:hAnsiTheme="minorEastAsia" w:eastAsiaTheme="minorEastAsia" w:cstheme="minorEastAsia"/>
          <w:bCs/>
          <w:color w:val="auto"/>
          <w:sz w:val="24"/>
          <w:szCs w:val="24"/>
          <w:lang w:val="en-US" w:eastAsia="zh-CN"/>
        </w:rPr>
        <w:t>如</w:t>
      </w:r>
      <w:r>
        <w:rPr>
          <w:rFonts w:hint="eastAsia" w:asciiTheme="minorEastAsia" w:hAnsiTheme="minorEastAsia" w:cstheme="minorEastAsia"/>
          <w:bCs/>
          <w:color w:val="auto"/>
          <w:sz w:val="24"/>
          <w:szCs w:val="24"/>
          <w:lang w:val="en-US" w:eastAsia="zh-CN"/>
        </w:rPr>
        <w:t>保函到期时，</w:t>
      </w:r>
      <w:r>
        <w:rPr>
          <w:rFonts w:hint="eastAsia" w:asciiTheme="minorEastAsia" w:hAnsiTheme="minorEastAsia" w:eastAsiaTheme="minorEastAsia" w:cstheme="minorEastAsia"/>
          <w:bCs/>
          <w:color w:val="auto"/>
          <w:sz w:val="24"/>
          <w:szCs w:val="24"/>
        </w:rPr>
        <w:t>设备</w:t>
      </w:r>
      <w:r>
        <w:rPr>
          <w:rFonts w:hint="eastAsia" w:asciiTheme="minorEastAsia" w:hAnsiTheme="minorEastAsia" w:eastAsiaTheme="minorEastAsia" w:cstheme="minorEastAsia"/>
          <w:bCs/>
          <w:color w:val="auto"/>
          <w:sz w:val="24"/>
          <w:szCs w:val="24"/>
          <w:lang w:val="en-US" w:eastAsia="zh-CN"/>
        </w:rPr>
        <w:t>仍</w:t>
      </w:r>
      <w:r>
        <w:rPr>
          <w:rFonts w:hint="eastAsia" w:asciiTheme="minorEastAsia" w:hAnsiTheme="minorEastAsia" w:eastAsiaTheme="minorEastAsia" w:cstheme="minorEastAsia"/>
          <w:bCs/>
          <w:color w:val="auto"/>
          <w:sz w:val="24"/>
          <w:szCs w:val="24"/>
        </w:rPr>
        <w:t>在质保期</w:t>
      </w:r>
      <w:r>
        <w:rPr>
          <w:rFonts w:hint="eastAsia" w:asciiTheme="minorEastAsia" w:hAnsiTheme="minorEastAsia" w:eastAsiaTheme="minorEastAsia" w:cstheme="minorEastAsia"/>
          <w:bCs/>
          <w:color w:val="auto"/>
          <w:sz w:val="24"/>
          <w:szCs w:val="24"/>
          <w:lang w:val="en-US" w:eastAsia="zh-CN"/>
        </w:rPr>
        <w:t>内，则需重新开具</w:t>
      </w:r>
      <w:r>
        <w:rPr>
          <w:rFonts w:hint="eastAsia" w:asciiTheme="minorEastAsia" w:hAnsiTheme="minorEastAsia" w:cstheme="minorEastAsia"/>
          <w:bCs/>
          <w:color w:val="auto"/>
          <w:sz w:val="24"/>
          <w:szCs w:val="24"/>
          <w:lang w:val="en-US" w:eastAsia="zh-CN"/>
        </w:rPr>
        <w:t>银行</w:t>
      </w:r>
      <w:r>
        <w:rPr>
          <w:rFonts w:hint="eastAsia" w:asciiTheme="minorEastAsia" w:hAnsiTheme="minorEastAsia" w:eastAsiaTheme="minorEastAsia" w:cstheme="minorEastAsia"/>
          <w:bCs/>
          <w:color w:val="auto"/>
          <w:sz w:val="24"/>
          <w:szCs w:val="24"/>
        </w:rPr>
        <w:t>质量保函</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cstheme="minorEastAsia"/>
          <w:sz w:val="24"/>
        </w:rPr>
        <w:t xml:space="preserve"> </w:t>
      </w:r>
    </w:p>
    <w:p w14:paraId="33C25625">
      <w:pPr>
        <w:pStyle w:val="5"/>
        <w:keepNext w:val="0"/>
        <w:keepLines w:val="0"/>
        <w:pageBreakBefore w:val="0"/>
        <w:kinsoku/>
        <w:wordWrap/>
        <w:overflowPunct/>
        <w:topLinePunct w:val="0"/>
        <w:autoSpaceDE/>
        <w:autoSpaceDN/>
        <w:bidi w:val="0"/>
        <w:adjustRightInd/>
        <w:spacing w:before="313" w:beforeLines="100" w:after="313" w:afterLines="100" w:line="480" w:lineRule="exact"/>
        <w:ind w:left="-525" w:leftChars="-250" w:right="-525" w:rightChars="-2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设备自验收合格之日起</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年后，经甲方确认乙方所提供设备无任何产品质量、售后问题，甲方将合同总价款5%的银行保函原件退还给乙方。</w:t>
      </w:r>
    </w:p>
    <w:p w14:paraId="6CD37AD1">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六、违约责任</w:t>
      </w:r>
    </w:p>
    <w:p w14:paraId="25BBC9E6">
      <w:pPr>
        <w:adjustRightInd w:val="0"/>
        <w:snapToGrid w:val="0"/>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（一）乙方逾期交货</w:t>
      </w:r>
      <w:r>
        <w:rPr>
          <w:rFonts w:asciiTheme="minorEastAsia" w:hAnsiTheme="minorEastAsia" w:cstheme="minorEastAsia"/>
          <w:sz w:val="24"/>
          <w:highlight w:val="none"/>
        </w:rPr>
        <w:t>（</w:t>
      </w:r>
      <w:r>
        <w:rPr>
          <w:rFonts w:hint="eastAsia" w:asciiTheme="minorEastAsia" w:hAnsiTheme="minorEastAsia" w:cstheme="minorEastAsia"/>
          <w:sz w:val="24"/>
          <w:highlight w:val="none"/>
          <w:lang w:eastAsia="zh-Hans"/>
        </w:rPr>
        <w:t>含逾期补足</w:t>
      </w:r>
      <w:r>
        <w:rPr>
          <w:rFonts w:asciiTheme="minorEastAsia" w:hAnsiTheme="minorEastAsia" w:cstheme="minorEastAsia"/>
          <w:sz w:val="24"/>
          <w:highlight w:val="none"/>
          <w:lang w:eastAsia="zh-Hans"/>
        </w:rPr>
        <w:t>、</w:t>
      </w:r>
      <w:r>
        <w:rPr>
          <w:rFonts w:hint="eastAsia" w:asciiTheme="minorEastAsia" w:hAnsiTheme="minorEastAsia" w:cstheme="minorEastAsia"/>
          <w:sz w:val="24"/>
          <w:highlight w:val="none"/>
          <w:lang w:eastAsia="zh-Hans"/>
        </w:rPr>
        <w:t>更换</w:t>
      </w:r>
      <w:r>
        <w:rPr>
          <w:rFonts w:asciiTheme="minorEastAsia" w:hAnsiTheme="minorEastAsia" w:cstheme="minorEastAsia"/>
          <w:sz w:val="24"/>
          <w:highlight w:val="none"/>
        </w:rPr>
        <w:t>），</w:t>
      </w:r>
      <w:r>
        <w:rPr>
          <w:rFonts w:hint="eastAsia" w:asciiTheme="minorEastAsia" w:hAnsiTheme="minorEastAsia" w:cstheme="minorEastAsia"/>
          <w:sz w:val="24"/>
        </w:rPr>
        <w:t>应按每逾期一天向甲方支付合同</w:t>
      </w:r>
      <w:r>
        <w:rPr>
          <w:rFonts w:hint="eastAsia" w:asciiTheme="minorEastAsia" w:hAnsiTheme="minorEastAsia" w:cstheme="minorEastAsia"/>
          <w:sz w:val="24"/>
          <w:lang w:eastAsia="zh-CN"/>
        </w:rPr>
        <w:t>合计金额</w:t>
      </w:r>
      <w:r>
        <w:rPr>
          <w:rFonts w:hint="eastAsia" w:asciiTheme="minorEastAsia" w:hAnsiTheme="minorEastAsia" w:cstheme="minorEastAsia"/>
          <w:sz w:val="24"/>
        </w:rPr>
        <w:t>的万分之三违约金，逾期交货</w:t>
      </w:r>
      <w:r>
        <w:rPr>
          <w:rFonts w:asciiTheme="minorEastAsia" w:hAnsiTheme="minorEastAsia" w:cstheme="minorEastAsia"/>
          <w:sz w:val="24"/>
          <w:highlight w:val="none"/>
        </w:rPr>
        <w:t>（</w:t>
      </w:r>
      <w:r>
        <w:rPr>
          <w:rFonts w:hint="eastAsia" w:asciiTheme="minorEastAsia" w:hAnsiTheme="minorEastAsia" w:cstheme="minorEastAsia"/>
          <w:sz w:val="24"/>
          <w:highlight w:val="none"/>
          <w:lang w:eastAsia="zh-Hans"/>
        </w:rPr>
        <w:t>含逾期补足</w:t>
      </w:r>
      <w:r>
        <w:rPr>
          <w:rFonts w:asciiTheme="minorEastAsia" w:hAnsiTheme="minorEastAsia" w:cstheme="minorEastAsia"/>
          <w:sz w:val="24"/>
          <w:highlight w:val="none"/>
          <w:lang w:eastAsia="zh-Hans"/>
        </w:rPr>
        <w:t>、</w:t>
      </w:r>
      <w:r>
        <w:rPr>
          <w:rFonts w:hint="eastAsia" w:asciiTheme="minorEastAsia" w:hAnsiTheme="minorEastAsia" w:cstheme="minorEastAsia"/>
          <w:sz w:val="24"/>
          <w:highlight w:val="none"/>
          <w:lang w:eastAsia="zh-Hans"/>
        </w:rPr>
        <w:t>更换</w:t>
      </w:r>
      <w:r>
        <w:rPr>
          <w:rFonts w:asciiTheme="minorEastAsia" w:hAnsiTheme="minorEastAsia" w:cstheme="minorEastAsia"/>
          <w:sz w:val="24"/>
          <w:highlight w:val="none"/>
        </w:rPr>
        <w:t>），</w:t>
      </w:r>
      <w:r>
        <w:rPr>
          <w:rFonts w:hint="eastAsia" w:asciiTheme="minorEastAsia" w:hAnsiTheme="minorEastAsia" w:cstheme="minorEastAsia"/>
          <w:sz w:val="24"/>
        </w:rPr>
        <w:t>超过一个月视为乙方严重违约，甲方有权解除合同并要求乙方按照合同</w:t>
      </w:r>
      <w:r>
        <w:rPr>
          <w:rFonts w:hint="eastAsia" w:asciiTheme="minorEastAsia" w:hAnsiTheme="minorEastAsia" w:cstheme="minorEastAsia"/>
          <w:sz w:val="24"/>
          <w:lang w:eastAsia="zh-CN"/>
        </w:rPr>
        <w:t>合计金额</w:t>
      </w:r>
      <w:r>
        <w:rPr>
          <w:rFonts w:hint="eastAsia" w:asciiTheme="minorEastAsia" w:hAnsiTheme="minorEastAsia" w:cstheme="minorEastAsia"/>
          <w:sz w:val="24"/>
          <w:lang w:eastAsia="zh-Hans"/>
        </w:rPr>
        <w:t>的</w:t>
      </w:r>
      <w:r>
        <w:rPr>
          <w:rFonts w:hint="eastAsia" w:asciiTheme="minorEastAsia" w:hAnsiTheme="minorEastAsia" w:cstheme="minorEastAsia"/>
          <w:sz w:val="24"/>
        </w:rPr>
        <w:t>10%支付违约金。</w:t>
      </w:r>
    </w:p>
    <w:p w14:paraId="4812D868">
      <w:pPr>
        <w:adjustRightInd w:val="0"/>
        <w:snapToGrid w:val="0"/>
        <w:spacing w:line="24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highlight w:val="none"/>
        </w:rPr>
        <w:t>（</w:t>
      </w:r>
      <w:r>
        <w:rPr>
          <w:rFonts w:hint="eastAsia" w:asciiTheme="minorEastAsia" w:hAnsiTheme="minorEastAsia" w:cstheme="minorEastAsia"/>
          <w:sz w:val="24"/>
          <w:highlight w:val="none"/>
          <w:lang w:eastAsia="zh-Hans"/>
        </w:rPr>
        <w:t>二</w:t>
      </w:r>
      <w:r>
        <w:rPr>
          <w:rFonts w:hint="eastAsia" w:asciiTheme="minorEastAsia" w:hAnsiTheme="minorEastAsia" w:cstheme="minorEastAsia"/>
          <w:sz w:val="24"/>
          <w:highlight w:val="none"/>
        </w:rPr>
        <w:t>）</w:t>
      </w:r>
      <w:r>
        <w:rPr>
          <w:rFonts w:hint="eastAsia" w:asciiTheme="minorEastAsia" w:hAnsiTheme="minorEastAsia" w:cstheme="minorEastAsia"/>
          <w:sz w:val="24"/>
        </w:rPr>
        <w:t>甲方不按合同约定时间付款，每逾期一天，向乙方支付合同</w:t>
      </w:r>
      <w:r>
        <w:rPr>
          <w:rFonts w:hint="eastAsia" w:ascii="宋体" w:hAnsi="宋体" w:cs="宋体"/>
          <w:bCs/>
          <w:color w:val="000000" w:themeColor="text1"/>
          <w:sz w:val="24"/>
          <w:lang w:val="en-US" w:eastAsia="zh-CN"/>
          <w14:textFill>
            <w14:solidFill>
              <w14:schemeClr w14:val="tx1"/>
            </w14:solidFill>
          </w14:textFill>
        </w:rPr>
        <w:t>应付金额</w:t>
      </w:r>
      <w:r>
        <w:rPr>
          <w:rFonts w:hint="eastAsia" w:asciiTheme="minorEastAsia" w:hAnsiTheme="minorEastAsia" w:cstheme="minorEastAsia"/>
          <w:sz w:val="24"/>
        </w:rPr>
        <w:t>万分之三</w:t>
      </w:r>
      <w:r>
        <w:rPr>
          <w:rFonts w:hint="eastAsia" w:asciiTheme="minorEastAsia" w:hAnsiTheme="minorEastAsia" w:cstheme="minorEastAsia"/>
          <w:sz w:val="24"/>
          <w:lang w:val="en-US" w:eastAsia="zh-CN"/>
        </w:rPr>
        <w:t>的</w:t>
      </w:r>
      <w:r>
        <w:rPr>
          <w:rFonts w:hint="eastAsia" w:asciiTheme="minorEastAsia" w:hAnsiTheme="minorEastAsia" w:cstheme="minorEastAsia"/>
          <w:sz w:val="24"/>
        </w:rPr>
        <w:t>违约金</w:t>
      </w:r>
      <w:r>
        <w:rPr>
          <w:rFonts w:hint="eastAsia" w:asciiTheme="minorEastAsia" w:hAnsiTheme="minorEastAsia" w:cstheme="minorEastAsia"/>
          <w:sz w:val="24"/>
          <w:lang w:eastAsia="zh-CN"/>
        </w:rPr>
        <w:t>，</w:t>
      </w:r>
      <w:r>
        <w:rPr>
          <w:rFonts w:hint="eastAsia" w:ascii="宋体" w:hAnsi="宋体" w:cs="宋体"/>
          <w:bCs/>
          <w:color w:val="000000" w:themeColor="text1"/>
          <w:sz w:val="24"/>
          <w:lang w:val="en-US" w:eastAsia="zh-CN"/>
          <w14:textFill>
            <w14:solidFill>
              <w14:schemeClr w14:val="tx1"/>
            </w14:solidFill>
          </w14:textFill>
        </w:rPr>
        <w:t>最高不超过合同合计金额的5%。</w:t>
      </w:r>
    </w:p>
    <w:p w14:paraId="0F637592">
      <w:pPr>
        <w:adjustRightInd w:val="0"/>
        <w:snapToGrid w:val="0"/>
        <w:spacing w:line="240" w:lineRule="auto"/>
        <w:ind w:firstLine="480" w:firstLineChars="200"/>
        <w:rPr>
          <w:rFonts w:asciiTheme="minorEastAsia" w:hAnsiTheme="minorEastAsia" w:cstheme="minorEastAsia"/>
          <w:sz w:val="24"/>
        </w:rPr>
      </w:pPr>
      <w:r>
        <w:rPr>
          <w:rFonts w:hint="eastAsia" w:asciiTheme="minorEastAsia" w:hAnsiTheme="minorEastAsia" w:cstheme="minorEastAsia"/>
          <w:sz w:val="24"/>
          <w:highlight w:val="none"/>
        </w:rPr>
        <w:t>（</w:t>
      </w:r>
      <w:r>
        <w:rPr>
          <w:rFonts w:hint="eastAsia" w:asciiTheme="minorEastAsia" w:hAnsiTheme="minorEastAsia" w:cstheme="minorEastAsia"/>
          <w:sz w:val="24"/>
          <w:highlight w:val="none"/>
          <w:lang w:eastAsia="zh-Hans"/>
        </w:rPr>
        <w:t>三</w:t>
      </w:r>
      <w:r>
        <w:rPr>
          <w:rFonts w:hint="eastAsia" w:asciiTheme="minorEastAsia" w:hAnsiTheme="minorEastAsia" w:cstheme="minorEastAsia"/>
          <w:sz w:val="24"/>
          <w:highlight w:val="none"/>
        </w:rPr>
        <w:t>）</w:t>
      </w:r>
      <w:r>
        <w:rPr>
          <w:rFonts w:hint="eastAsia" w:asciiTheme="minorEastAsia" w:hAnsiTheme="minorEastAsia" w:cstheme="minorEastAsia"/>
          <w:sz w:val="24"/>
        </w:rPr>
        <w:t>任</w:t>
      </w:r>
      <w:r>
        <w:rPr>
          <w:rFonts w:hint="eastAsia" w:asciiTheme="minorEastAsia" w:hAnsiTheme="minorEastAsia" w:cstheme="minorEastAsia"/>
          <w:sz w:val="24"/>
          <w:lang w:val="en-US" w:eastAsia="zh-CN"/>
        </w:rPr>
        <w:t>何</w:t>
      </w:r>
      <w:r>
        <w:rPr>
          <w:rFonts w:hint="eastAsia" w:asciiTheme="minorEastAsia" w:hAnsiTheme="minorEastAsia" w:cstheme="minorEastAsia"/>
          <w:sz w:val="24"/>
        </w:rPr>
        <w:t>一方违约，守约方因维权所产生的律师费、案件受理费、保全费、保全保险费、检验检测费、鉴定费等合理支出费用均由违约方承担。</w:t>
      </w:r>
    </w:p>
    <w:p w14:paraId="5D6CBF7F">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七、不可抗力因素</w:t>
      </w:r>
    </w:p>
    <w:p w14:paraId="6B2E3498">
      <w:pPr>
        <w:adjustRightInd w:val="0"/>
        <w:snapToGrid w:val="0"/>
        <w:spacing w:line="340" w:lineRule="exact"/>
        <w:ind w:firstLine="480" w:firstLineChars="200"/>
        <w:rPr>
          <w:rFonts w:asciiTheme="minorEastAsia" w:hAnsiTheme="minorEastAsia" w:cstheme="minorEastAsia"/>
          <w:b/>
          <w:bCs/>
          <w:sz w:val="24"/>
        </w:rPr>
      </w:pPr>
      <w:r>
        <w:rPr>
          <w:rFonts w:hint="eastAsia" w:asciiTheme="minorEastAsia" w:hAnsiTheme="minorEastAsia" w:cstheme="minorEastAsia"/>
          <w:sz w:val="24"/>
        </w:rPr>
        <w:t>甲乙任</w:t>
      </w:r>
      <w:r>
        <w:rPr>
          <w:rFonts w:hint="eastAsia" w:asciiTheme="minorEastAsia" w:hAnsiTheme="minorEastAsia" w:cstheme="minorEastAsia"/>
          <w:bCs/>
          <w:sz w:val="24"/>
          <w:highlight w:val="none"/>
          <w:lang w:val="en-US" w:eastAsia="zh-CN"/>
        </w:rPr>
        <w:t>何</w:t>
      </w:r>
      <w:r>
        <w:rPr>
          <w:rFonts w:hint="eastAsia" w:asciiTheme="minorEastAsia" w:hAnsiTheme="minorEastAsia" w:cstheme="minorEastAsia"/>
          <w:sz w:val="24"/>
        </w:rPr>
        <w:t>一方由于不可抗</w:t>
      </w:r>
      <w:r>
        <w:rPr>
          <w:rFonts w:hint="eastAsia" w:asciiTheme="minorEastAsia" w:hAnsiTheme="minorEastAsia" w:cstheme="minorEastAsia"/>
          <w:sz w:val="24"/>
          <w:lang w:val="en-US" w:eastAsia="zh-Hans"/>
        </w:rPr>
        <w:t>力</w:t>
      </w:r>
      <w:r>
        <w:rPr>
          <w:rFonts w:hint="eastAsia" w:asciiTheme="minorEastAsia" w:hAnsiTheme="minorEastAsia" w:cstheme="minorEastAsia"/>
          <w:sz w:val="24"/>
        </w:rPr>
        <w:t>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14:paraId="6736BE47">
      <w:pPr>
        <w:tabs>
          <w:tab w:val="left" w:pos="1980"/>
        </w:tabs>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八、合同纠纷处理</w:t>
      </w:r>
    </w:p>
    <w:p w14:paraId="1710C9EB">
      <w:pPr>
        <w:tabs>
          <w:tab w:val="left" w:pos="1980"/>
        </w:tabs>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sz w:val="24"/>
        </w:rPr>
        <w:t>（一）本合同执行过程中发生纠纷，由甲乙双方协商处理，协商不成，双方可向甲方所在地人民法院起诉。</w:t>
      </w:r>
    </w:p>
    <w:p w14:paraId="0B06B976">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Cs/>
          <w:sz w:val="24"/>
        </w:rPr>
        <w:t>（二）</w:t>
      </w:r>
      <w:r>
        <w:rPr>
          <w:rFonts w:hint="eastAsia" w:asciiTheme="minorEastAsia" w:hAnsiTheme="minorEastAsia" w:cstheme="minorEastAsia"/>
          <w:sz w:val="24"/>
        </w:rPr>
        <w:t>本合同由甲乙双方签字盖章后生效。</w:t>
      </w:r>
    </w:p>
    <w:p w14:paraId="7A25989E">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九、合同鉴证</w:t>
      </w:r>
    </w:p>
    <w:p w14:paraId="753E137B">
      <w:pPr>
        <w:snapToGrid w:val="0"/>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招标机构应当在本合同上签章，以证明本合同条款与招标文件、投标文件的相关要求相符并且未对采购货物和技术参数进行实质性修改。</w:t>
      </w:r>
    </w:p>
    <w:p w14:paraId="7058E6AA">
      <w:pPr>
        <w:snapToGrid w:val="0"/>
        <w:spacing w:line="340" w:lineRule="exact"/>
        <w:ind w:firstLine="480" w:firstLineChars="200"/>
        <w:rPr>
          <w:rFonts w:asciiTheme="minorEastAsia" w:hAnsiTheme="minorEastAsia" w:cstheme="minorEastAsia"/>
          <w:b/>
          <w:sz w:val="24"/>
        </w:rPr>
      </w:pPr>
      <w:r>
        <w:rPr>
          <w:rFonts w:hint="eastAsia" w:asciiTheme="minorEastAsia" w:hAnsiTheme="minorEastAsia" w:cstheme="minorEastAsia"/>
          <w:b/>
          <w:sz w:val="24"/>
        </w:rPr>
        <w:t>十、</w:t>
      </w:r>
      <w:r>
        <w:rPr>
          <w:rFonts w:hint="eastAsia" w:asciiTheme="minorEastAsia" w:hAnsiTheme="minorEastAsia" w:cstheme="minorEastAsia"/>
          <w:b/>
          <w:bCs/>
          <w:sz w:val="24"/>
        </w:rPr>
        <w:t>组成本合同的文件（按照顺序放）</w:t>
      </w:r>
    </w:p>
    <w:p w14:paraId="3BD94694">
      <w:pPr>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bCs/>
          <w:sz w:val="24"/>
        </w:rPr>
        <w:t>（一）中标通知书</w:t>
      </w:r>
      <w:r>
        <w:rPr>
          <w:rFonts w:hint="eastAsia" w:asciiTheme="minorEastAsia" w:hAnsiTheme="minorEastAsia" w:cstheme="minorEastAsia"/>
          <w:sz w:val="24"/>
        </w:rPr>
        <w:t>1份。</w:t>
      </w:r>
    </w:p>
    <w:p w14:paraId="7C337018">
      <w:pPr>
        <w:spacing w:line="340" w:lineRule="exact"/>
        <w:ind w:firstLine="480" w:firstLineChars="200"/>
        <w:rPr>
          <w:rFonts w:asciiTheme="minorEastAsia" w:hAnsiTheme="minorEastAsia" w:cstheme="minorEastAsia"/>
          <w:strike/>
          <w:sz w:val="24"/>
        </w:rPr>
      </w:pPr>
      <w:r>
        <w:rPr>
          <w:rFonts w:hint="eastAsia" w:asciiTheme="minorEastAsia" w:hAnsiTheme="minorEastAsia" w:cstheme="minorEastAsia"/>
          <w:sz w:val="24"/>
        </w:rPr>
        <w:t>（二）</w:t>
      </w:r>
      <w:r>
        <w:rPr>
          <w:rFonts w:hint="eastAsia" w:ascii="宋体" w:hAnsi="宋体" w:cs="宋体"/>
          <w:sz w:val="24"/>
        </w:rPr>
        <w:t>乙方公司的营业执照、医疗器械经营许可证。</w:t>
      </w:r>
    </w:p>
    <w:p w14:paraId="2E80FC99">
      <w:pPr>
        <w:spacing w:line="34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（三）乙方法人身份证复印件1份。</w:t>
      </w:r>
    </w:p>
    <w:p w14:paraId="2D4C9E90">
      <w:pPr>
        <w:spacing w:line="240" w:lineRule="auto"/>
        <w:ind w:firstLine="480" w:firstLineChars="200"/>
        <w:jc w:val="left"/>
        <w:rPr>
          <w:rFonts w:asciiTheme="minorEastAsia" w:hAnsiTheme="minorEastAsia" w:cstheme="minorEastAsia"/>
          <w:kern w:val="0"/>
          <w:sz w:val="24"/>
        </w:rPr>
      </w:pPr>
      <w:r>
        <w:rPr>
          <w:rFonts w:hint="eastAsia" w:asciiTheme="minorEastAsia" w:hAnsiTheme="minorEastAsia" w:cstheme="minorEastAsia"/>
          <w:sz w:val="24"/>
        </w:rPr>
        <w:t>（四）</w:t>
      </w:r>
      <w:r>
        <w:rPr>
          <w:rFonts w:hint="eastAsia" w:ascii="宋体" w:hAnsi="宋体" w:cs="宋体"/>
          <w:sz w:val="24"/>
        </w:rPr>
        <w:t>生产厂家的售后服务保证书、产品授权书，产品注册证（含产品技术要求）、营业执照、医疗器械生产许可证等。</w:t>
      </w:r>
    </w:p>
    <w:p w14:paraId="157FD02A">
      <w:pPr>
        <w:spacing w:line="340" w:lineRule="exact"/>
        <w:ind w:firstLine="480" w:firstLineChars="200"/>
        <w:rPr>
          <w:rFonts w:hint="eastAsia" w:asciiTheme="minorEastAsia" w:hAnsiTheme="minorEastAsia" w:cstheme="minorEastAsia"/>
          <w:kern w:val="0"/>
          <w:sz w:val="24"/>
        </w:rPr>
      </w:pPr>
      <w:r>
        <w:rPr>
          <w:rFonts w:hint="eastAsia" w:asciiTheme="minorEastAsia" w:hAnsiTheme="minorEastAsia" w:cstheme="minorEastAsia"/>
          <w:kern w:val="0"/>
          <w:sz w:val="24"/>
        </w:rPr>
        <w:t>（五）参数响应文件1份。</w:t>
      </w:r>
    </w:p>
    <w:p w14:paraId="15A179B2">
      <w:pPr>
        <w:pStyle w:val="4"/>
        <w:rPr>
          <w:rFonts w:hint="default" w:eastAsiaTheme="minorEastAsia"/>
          <w:lang w:val="en-US" w:eastAsia="zh-CN"/>
        </w:rPr>
      </w:pPr>
      <w:r>
        <w:rPr>
          <w:rFonts w:hint="eastAsia" w:asciiTheme="minorEastAsia" w:hAnsiTheme="minorEastAsia" w:cstheme="minorEastAsia"/>
          <w:kern w:val="0"/>
          <w:sz w:val="24"/>
          <w:lang w:val="en-US" w:eastAsia="zh-CN"/>
        </w:rPr>
        <w:t xml:space="preserve">    （六）设备配置清单。</w:t>
      </w:r>
    </w:p>
    <w:p w14:paraId="00AF4EF0">
      <w:pPr>
        <w:spacing w:line="340" w:lineRule="exact"/>
        <w:ind w:firstLine="480" w:firstLineChars="200"/>
        <w:rPr>
          <w:rFonts w:asciiTheme="minorEastAsia" w:hAnsiTheme="minorEastAsia" w:cstheme="minorEastAsia"/>
          <w:bCs/>
          <w:sz w:val="24"/>
        </w:rPr>
      </w:pPr>
      <w:r>
        <w:rPr>
          <w:rFonts w:hint="eastAsia" w:asciiTheme="minorEastAsia" w:hAnsiTheme="minorEastAsia" w:cstheme="minorEastAsia"/>
          <w:b/>
          <w:sz w:val="24"/>
        </w:rPr>
        <w:t>十一、本合同一式</w:t>
      </w:r>
      <w:r>
        <w:rPr>
          <w:rFonts w:hint="eastAsia" w:asciiTheme="minorEastAsia" w:hAnsiTheme="minorEastAsia" w:cstheme="minorEastAsia"/>
          <w:b/>
          <w:sz w:val="24"/>
          <w:lang w:val="en-US" w:eastAsia="zh-CN"/>
        </w:rPr>
        <w:t>肆</w:t>
      </w:r>
      <w:r>
        <w:rPr>
          <w:rFonts w:hint="eastAsia" w:asciiTheme="minorEastAsia" w:hAnsiTheme="minorEastAsia" w:cstheme="minorEastAsia"/>
          <w:b/>
          <w:sz w:val="24"/>
        </w:rPr>
        <w:t>份，甲方</w:t>
      </w:r>
      <w:r>
        <w:rPr>
          <w:rFonts w:hint="eastAsia" w:asciiTheme="minorEastAsia" w:hAnsiTheme="minorEastAsia" w:cstheme="minorEastAsia"/>
          <w:b/>
          <w:sz w:val="24"/>
          <w:lang w:val="en-US" w:eastAsia="zh-CN"/>
        </w:rPr>
        <w:t>执贰</w:t>
      </w:r>
      <w:r>
        <w:rPr>
          <w:rFonts w:hint="eastAsia" w:asciiTheme="minorEastAsia" w:hAnsiTheme="minorEastAsia" w:cstheme="minorEastAsia"/>
          <w:b/>
          <w:sz w:val="24"/>
        </w:rPr>
        <w:t>份，乙方</w:t>
      </w:r>
      <w:r>
        <w:rPr>
          <w:rFonts w:hint="eastAsia" w:asciiTheme="minorEastAsia" w:hAnsiTheme="minorEastAsia" w:cstheme="minorEastAsia"/>
          <w:b/>
          <w:sz w:val="24"/>
          <w:lang w:val="en-US" w:eastAsia="zh-Hans"/>
        </w:rPr>
        <w:t>执</w:t>
      </w:r>
      <w:r>
        <w:rPr>
          <w:rFonts w:hint="eastAsia" w:asciiTheme="minorEastAsia" w:hAnsiTheme="minorEastAsia" w:cstheme="minorEastAsia"/>
          <w:b/>
          <w:sz w:val="24"/>
          <w:lang w:val="en-US" w:eastAsia="zh-CN"/>
        </w:rPr>
        <w:t>壹</w:t>
      </w:r>
      <w:r>
        <w:rPr>
          <w:rFonts w:hint="eastAsia" w:asciiTheme="minorEastAsia" w:hAnsiTheme="minorEastAsia" w:cstheme="minorEastAsia"/>
          <w:b/>
          <w:sz w:val="24"/>
        </w:rPr>
        <w:t>份</w:t>
      </w:r>
      <w:r>
        <w:rPr>
          <w:rFonts w:hint="eastAsia" w:asciiTheme="minorEastAsia" w:hAnsiTheme="minorEastAsia" w:cstheme="minorEastAsia"/>
          <w:b/>
          <w:sz w:val="24"/>
          <w:lang w:eastAsia="zh-CN"/>
        </w:rPr>
        <w:t>，</w:t>
      </w:r>
      <w:r>
        <w:rPr>
          <w:rFonts w:hint="eastAsia" w:asciiTheme="minorEastAsia" w:hAnsiTheme="minorEastAsia" w:cstheme="minorEastAsia"/>
          <w:b/>
          <w:sz w:val="24"/>
        </w:rPr>
        <w:t>招标代理公司</w:t>
      </w:r>
      <w:r>
        <w:rPr>
          <w:rFonts w:hint="eastAsia" w:asciiTheme="minorEastAsia" w:hAnsiTheme="minorEastAsia" w:cstheme="minorEastAsia"/>
          <w:b/>
          <w:sz w:val="24"/>
          <w:lang w:val="en-US" w:eastAsia="zh-Hans"/>
        </w:rPr>
        <w:t>执</w:t>
      </w:r>
      <w:r>
        <w:rPr>
          <w:rFonts w:hint="eastAsia" w:asciiTheme="minorEastAsia" w:hAnsiTheme="minorEastAsia" w:cstheme="minorEastAsia"/>
          <w:b/>
          <w:sz w:val="24"/>
          <w:lang w:val="en-US" w:eastAsia="zh-CN"/>
        </w:rPr>
        <w:t>壹</w:t>
      </w:r>
      <w:r>
        <w:rPr>
          <w:rFonts w:hint="eastAsia" w:asciiTheme="minorEastAsia" w:hAnsiTheme="minorEastAsia" w:cstheme="minorEastAsia"/>
          <w:b/>
          <w:sz w:val="24"/>
        </w:rPr>
        <w:t>份</w:t>
      </w:r>
      <w:r>
        <w:rPr>
          <w:rFonts w:hint="eastAsia" w:asciiTheme="minorEastAsia" w:hAnsiTheme="minorEastAsia" w:cstheme="minorEastAsia"/>
          <w:bCs/>
          <w:sz w:val="24"/>
        </w:rPr>
        <w:t>。</w:t>
      </w:r>
    </w:p>
    <w:tbl>
      <w:tblPr>
        <w:tblStyle w:val="8"/>
        <w:tblW w:w="861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9"/>
        <w:gridCol w:w="4421"/>
      </w:tblGrid>
      <w:tr w14:paraId="2106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4189" w:type="dxa"/>
            <w:vAlign w:val="center"/>
          </w:tcPr>
          <w:p w14:paraId="5A0F7843">
            <w:pPr>
              <w:snapToGrid w:val="0"/>
              <w:spacing w:line="500" w:lineRule="exact"/>
              <w:rPr>
                <w:rFonts w:ascii="宋体" w:hAnsi="宋体" w:eastAsia="宋体" w:cs="宋体"/>
                <w:bCs/>
                <w:sz w:val="24"/>
                <w:u w:val="single"/>
              </w:rPr>
            </w:pPr>
            <w:r>
              <w:rPr>
                <w:rFonts w:hint="eastAsia" w:ascii="宋体" w:hAnsi="宋体" w:eastAsia="宋体" w:cs="宋体"/>
                <w:b/>
                <w:kern w:val="0"/>
                <w:sz w:val="24"/>
              </w:rPr>
              <w:t>甲方：</w:t>
            </w:r>
            <w:r>
              <w:rPr>
                <w:rFonts w:hint="eastAsia" w:ascii="宋体" w:hAnsi="宋体" w:eastAsia="宋体" w:cs="宋体"/>
                <w:bCs/>
                <w:kern w:val="0"/>
                <w:sz w:val="24"/>
              </w:rPr>
              <w:t>海南医</w:t>
            </w:r>
            <w:r>
              <w:rPr>
                <w:rFonts w:hint="eastAsia" w:ascii="宋体" w:hAnsi="宋体" w:eastAsia="宋体" w:cs="宋体"/>
                <w:bCs/>
                <w:kern w:val="0"/>
                <w:sz w:val="24"/>
                <w:lang w:val="en-US" w:eastAsia="zh-CN"/>
              </w:rPr>
              <w:t>科大学</w:t>
            </w:r>
            <w:r>
              <w:rPr>
                <w:rFonts w:hint="eastAsia" w:ascii="宋体" w:hAnsi="宋体" w:eastAsia="宋体" w:cs="宋体"/>
                <w:bCs/>
                <w:kern w:val="0"/>
                <w:sz w:val="24"/>
              </w:rPr>
              <w:t>第二附属医院</w:t>
            </w:r>
          </w:p>
        </w:tc>
        <w:tc>
          <w:tcPr>
            <w:tcW w:w="4421" w:type="dxa"/>
            <w:vAlign w:val="center"/>
          </w:tcPr>
          <w:p w14:paraId="49810276">
            <w:pPr>
              <w:snapToGrid w:val="0"/>
              <w:spacing w:line="500" w:lineRule="exact"/>
              <w:rPr>
                <w:rFonts w:ascii="宋体" w:hAnsi="宋体" w:eastAsia="宋体" w:cs="宋体"/>
                <w:bCs/>
                <w:sz w:val="24"/>
                <w:u w:val="single"/>
              </w:rPr>
            </w:pPr>
            <w:r>
              <w:rPr>
                <w:rFonts w:hint="eastAsia" w:ascii="宋体" w:hAnsi="宋体" w:eastAsia="宋体" w:cs="宋体"/>
                <w:b/>
                <w:kern w:val="0"/>
                <w:sz w:val="24"/>
              </w:rPr>
              <w:t>乙方</w:t>
            </w:r>
            <w:r>
              <w:rPr>
                <w:rFonts w:hint="eastAsia"/>
              </w:rPr>
              <w:t>：</w:t>
            </w:r>
          </w:p>
        </w:tc>
      </w:tr>
      <w:tr w14:paraId="20A3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89" w:type="dxa"/>
            <w:vAlign w:val="center"/>
          </w:tcPr>
          <w:p w14:paraId="7BBFDCBB">
            <w:pPr>
              <w:snapToGrid w:val="0"/>
              <w:spacing w:line="500" w:lineRule="exact"/>
              <w:rPr>
                <w:rFonts w:ascii="宋体" w:hAnsi="宋体" w:eastAsia="宋体" w:cs="宋体"/>
                <w:bCs/>
                <w:sz w:val="24"/>
              </w:rPr>
            </w:pPr>
            <w:r>
              <w:rPr>
                <w:rFonts w:hint="eastAsia" w:ascii="宋体" w:hAnsi="宋体" w:eastAsia="宋体" w:cs="宋体"/>
                <w:kern w:val="0"/>
                <w:sz w:val="24"/>
              </w:rPr>
              <w:t>法定代表人：</w:t>
            </w:r>
          </w:p>
        </w:tc>
        <w:tc>
          <w:tcPr>
            <w:tcW w:w="4421" w:type="dxa"/>
            <w:vAlign w:val="center"/>
          </w:tcPr>
          <w:p w14:paraId="27AAB2AA">
            <w:pPr>
              <w:snapToGrid w:val="0"/>
              <w:spacing w:line="500" w:lineRule="exact"/>
              <w:rPr>
                <w:rFonts w:ascii="宋体" w:hAnsi="宋体" w:eastAsia="宋体" w:cs="宋体"/>
                <w:bCs/>
                <w:sz w:val="24"/>
              </w:rPr>
            </w:pPr>
            <w:r>
              <w:rPr>
                <w:rFonts w:hint="eastAsia" w:ascii="宋体" w:hAnsi="宋体" w:eastAsia="宋体" w:cs="宋体"/>
                <w:kern w:val="0"/>
                <w:sz w:val="24"/>
              </w:rPr>
              <w:t>法定代表人</w:t>
            </w:r>
            <w:r>
              <w:rPr>
                <w:rFonts w:hint="eastAsia" w:ascii="宋体" w:hAnsi="宋体" w:eastAsia="宋体" w:cs="宋体"/>
                <w:bCs/>
                <w:kern w:val="0"/>
                <w:sz w:val="24"/>
              </w:rPr>
              <w:t>：</w:t>
            </w:r>
          </w:p>
        </w:tc>
      </w:tr>
      <w:tr w14:paraId="7973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189" w:type="dxa"/>
            <w:vAlign w:val="center"/>
          </w:tcPr>
          <w:p w14:paraId="09ED5FE2">
            <w:pPr>
              <w:snapToGrid w:val="0"/>
              <w:spacing w:line="500" w:lineRule="exact"/>
              <w:rPr>
                <w:rFonts w:ascii="宋体" w:hAnsi="宋体" w:eastAsia="宋体" w:cs="宋体"/>
                <w:kern w:val="0"/>
                <w:sz w:val="24"/>
              </w:rPr>
            </w:pPr>
            <w:r>
              <w:rPr>
                <w:rFonts w:hint="eastAsia" w:ascii="宋体" w:hAnsi="宋体" w:eastAsia="宋体" w:cs="宋体"/>
                <w:kern w:val="0"/>
                <w:sz w:val="24"/>
              </w:rPr>
              <w:t>授权代理人：</w:t>
            </w:r>
          </w:p>
        </w:tc>
        <w:tc>
          <w:tcPr>
            <w:tcW w:w="4421" w:type="dxa"/>
            <w:vAlign w:val="center"/>
          </w:tcPr>
          <w:p w14:paraId="0205CF64">
            <w:pPr>
              <w:snapToGrid w:val="0"/>
              <w:spacing w:line="500" w:lineRule="exact"/>
              <w:rPr>
                <w:rFonts w:ascii="宋体" w:hAnsi="宋体" w:eastAsia="宋体" w:cs="宋体"/>
                <w:kern w:val="0"/>
                <w:sz w:val="24"/>
              </w:rPr>
            </w:pPr>
            <w:r>
              <w:rPr>
                <w:rFonts w:hint="eastAsia" w:ascii="宋体" w:hAnsi="宋体" w:eastAsia="宋体" w:cs="宋体"/>
                <w:kern w:val="0"/>
                <w:sz w:val="24"/>
              </w:rPr>
              <w:t>授权代理人：</w:t>
            </w:r>
          </w:p>
        </w:tc>
      </w:tr>
      <w:tr w14:paraId="61B1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189" w:type="dxa"/>
            <w:tcBorders>
              <w:bottom w:val="single" w:color="auto" w:sz="4" w:space="0"/>
            </w:tcBorders>
            <w:vAlign w:val="center"/>
          </w:tcPr>
          <w:p w14:paraId="75FE82E8">
            <w:pPr>
              <w:snapToGrid w:val="0"/>
              <w:spacing w:line="500" w:lineRule="exact"/>
              <w:rPr>
                <w:rFonts w:ascii="宋体" w:hAnsi="宋体" w:eastAsia="宋体" w:cs="宋体"/>
                <w:bCs/>
                <w:sz w:val="24"/>
              </w:rPr>
            </w:pPr>
            <w:r>
              <w:rPr>
                <w:rFonts w:hint="eastAsia" w:ascii="宋体" w:hAnsi="宋体" w:eastAsia="宋体" w:cs="宋体"/>
                <w:sz w:val="24"/>
              </w:rPr>
              <w:t>日期：     年   月   日</w:t>
            </w:r>
          </w:p>
        </w:tc>
        <w:tc>
          <w:tcPr>
            <w:tcW w:w="4421" w:type="dxa"/>
            <w:tcBorders>
              <w:bottom w:val="single" w:color="auto" w:sz="4" w:space="0"/>
            </w:tcBorders>
            <w:vAlign w:val="center"/>
          </w:tcPr>
          <w:p w14:paraId="021A7C60">
            <w:pPr>
              <w:snapToGrid w:val="0"/>
              <w:spacing w:line="500" w:lineRule="exact"/>
              <w:rPr>
                <w:rFonts w:ascii="宋体" w:hAnsi="宋体" w:eastAsia="宋体" w:cs="宋体"/>
                <w:bCs/>
                <w:sz w:val="24"/>
              </w:rPr>
            </w:pPr>
            <w:r>
              <w:rPr>
                <w:rFonts w:hint="eastAsia" w:ascii="宋体" w:hAnsi="宋体" w:eastAsia="宋体" w:cs="宋体"/>
                <w:sz w:val="24"/>
              </w:rPr>
              <w:t>日期：      年   月   日</w:t>
            </w:r>
          </w:p>
        </w:tc>
      </w:tr>
    </w:tbl>
    <w:p w14:paraId="015A99DF">
      <w:pPr>
        <w:widowControl/>
        <w:jc w:val="left"/>
      </w:pPr>
      <w:r>
        <w:rPr>
          <w:rFonts w:hint="eastAsia" w:asciiTheme="minorEastAsia" w:hAnsiTheme="minorEastAsia"/>
          <w:b/>
          <w:bCs/>
          <w:sz w:val="28"/>
          <w:szCs w:val="28"/>
        </w:rPr>
        <w:t xml:space="preserve">  </w:t>
      </w:r>
    </w:p>
    <w:sectPr>
      <w:footerReference r:id="rId3" w:type="default"/>
      <w:pgSz w:w="11906" w:h="16838"/>
      <w:pgMar w:top="1440" w:right="1797" w:bottom="1440" w:left="1797"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DDCE">
    <w:pPr>
      <w:pStyle w:val="6"/>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334D">
                          <w:pPr>
                            <w:pStyle w:val="6"/>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FF334D">
                    <w:pPr>
                      <w:pStyle w:val="6"/>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19AC4"/>
    <w:multiLevelType w:val="singleLevel"/>
    <w:tmpl w:val="DC219A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GMxY2Y1Yjc0NTVhZmJkZjI5MDMwYjU3NTQ1ZjkifQ=="/>
  </w:docVars>
  <w:rsids>
    <w:rsidRoot w:val="65E826D7"/>
    <w:rsid w:val="047A1C27"/>
    <w:rsid w:val="089450F6"/>
    <w:rsid w:val="090F16CA"/>
    <w:rsid w:val="0CBF0A31"/>
    <w:rsid w:val="0ED02A78"/>
    <w:rsid w:val="0F0F11BE"/>
    <w:rsid w:val="18A43F5D"/>
    <w:rsid w:val="1F6A6F14"/>
    <w:rsid w:val="1F7115EE"/>
    <w:rsid w:val="21FFFCDD"/>
    <w:rsid w:val="22176F15"/>
    <w:rsid w:val="25117FCC"/>
    <w:rsid w:val="2C187E92"/>
    <w:rsid w:val="2C9F440A"/>
    <w:rsid w:val="381754A2"/>
    <w:rsid w:val="391679E9"/>
    <w:rsid w:val="3C11729E"/>
    <w:rsid w:val="413816AE"/>
    <w:rsid w:val="45904894"/>
    <w:rsid w:val="482F5127"/>
    <w:rsid w:val="49C8033E"/>
    <w:rsid w:val="4E692A02"/>
    <w:rsid w:val="51597A9B"/>
    <w:rsid w:val="5552572D"/>
    <w:rsid w:val="5BBA3DD5"/>
    <w:rsid w:val="61053548"/>
    <w:rsid w:val="61755418"/>
    <w:rsid w:val="61AA0AD2"/>
    <w:rsid w:val="65E826D7"/>
    <w:rsid w:val="66A14D30"/>
    <w:rsid w:val="68823295"/>
    <w:rsid w:val="68FD7BA7"/>
    <w:rsid w:val="697C2E11"/>
    <w:rsid w:val="6A52798D"/>
    <w:rsid w:val="6D5B4F0B"/>
    <w:rsid w:val="6F743064"/>
    <w:rsid w:val="70353192"/>
    <w:rsid w:val="70AB03C7"/>
    <w:rsid w:val="768638A4"/>
    <w:rsid w:val="77151189"/>
    <w:rsid w:val="77247201"/>
    <w:rsid w:val="7FDD880E"/>
    <w:rsid w:val="AEA7D248"/>
    <w:rsid w:val="BBADC3B1"/>
    <w:rsid w:val="FFFE4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after="120"/>
      <w:jc w:val="center"/>
      <w:outlineLvl w:val="1"/>
    </w:pPr>
    <w:rPr>
      <w:rFonts w:ascii="Cambria" w:hAnsi="Cambria" w:eastAsia="宋体" w:cs="Times New Roman"/>
      <w:b/>
      <w:bCs/>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jc w:val="left"/>
    </w:pPr>
    <w:rPr>
      <w:rFonts w:ascii="Verdana" w:hAnsi="Verdana" w:eastAsia="楷体_GB2312"/>
      <w:b/>
      <w:i/>
      <w:iCs/>
      <w:color w:val="000000"/>
      <w:kern w:val="0"/>
      <w:szCs w:val="20"/>
      <w:lang w:eastAsia="en-US"/>
    </w:rPr>
  </w:style>
  <w:style w:type="paragraph" w:styleId="4">
    <w:name w:val="Body Text"/>
    <w:basedOn w:val="1"/>
    <w:next w:val="1"/>
    <w:qFormat/>
    <w:uiPriority w:val="0"/>
    <w:pPr>
      <w:autoSpaceDE w:val="0"/>
      <w:autoSpaceDN w:val="0"/>
      <w:adjustRightInd w:val="0"/>
      <w:jc w:val="left"/>
    </w:pPr>
    <w:rPr>
      <w:rFonts w:ascii="宋体"/>
      <w:kern w:val="0"/>
      <w:sz w:val="28"/>
      <w:szCs w:val="20"/>
    </w:rPr>
  </w:style>
  <w:style w:type="paragraph" w:styleId="5">
    <w:name w:val="Plain Text"/>
    <w:basedOn w:val="1"/>
    <w:qFormat/>
    <w:uiPriority w:val="99"/>
    <w:pPr>
      <w:widowControl w:val="0"/>
      <w:jc w:val="both"/>
    </w:pPr>
    <w:rPr>
      <w:rFonts w:ascii="宋体" w:hAnsi="Courier New" w:cs="Courier New"/>
      <w:kern w:val="2"/>
      <w:sz w:val="21"/>
      <w:szCs w:val="21"/>
    </w:rPr>
  </w:style>
  <w:style w:type="paragraph" w:styleId="6">
    <w:name w:val="footer"/>
    <w:basedOn w:val="1"/>
    <w:qFormat/>
    <w:uiPriority w:val="99"/>
    <w:pPr>
      <w:tabs>
        <w:tab w:val="center" w:pos="4153"/>
        <w:tab w:val="right" w:pos="8306"/>
      </w:tabs>
      <w:snapToGrid w:val="0"/>
      <w:jc w:val="left"/>
    </w:pPr>
    <w:rPr>
      <w:sz w:val="18"/>
      <w:szCs w:val="18"/>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2855</Words>
  <Characters>2916</Characters>
  <Lines>0</Lines>
  <Paragraphs>0</Paragraphs>
  <TotalTime>2</TotalTime>
  <ScaleCrop>false</ScaleCrop>
  <LinksUpToDate>false</LinksUpToDate>
  <CharactersWithSpaces>3023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2023-06-22T01:54:00Z</dcterms:created>
  <dc:creator>Jessi</dc:creator>
  <cp:lastModifiedBy>曾广泽</cp:lastModifiedBy>
  <cp:lastPrinted>2023-07-03T19:12:00Z</cp:lastPrinted>
  <dcterms:modified xsi:type="dcterms:W3CDTF">2025-07-10T02:03:45Z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F06B3C1A4A3B43048ABEB7DD6F451F4D_13</vt:lpwstr>
  </property>
  <property fmtid="{D5CDD505-2E9C-101B-9397-08002B2CF9AE}" pid="4" name="KSOTemplateDocerSaveRecord">
    <vt:lpwstr>eyJoZGlkIjoiODE5YzE0MzZkNDU3Y2MyYTM2MTgwYjI4ZDgzMzY4YmUiLCJ1c2VySWQiOiIxMzMxNzA4NjU0In0=</vt:lpwstr>
  </property>
</Properties>
</file>