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海南医科大学第二附属医院财务数据迁移</w:t>
      </w:r>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项目需求书</w:t>
      </w:r>
    </w:p>
    <w:p>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1项目概述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院历史财务数据（主要数据时间段为：2009年1月1日至2018年12月31日）存储于用友NC5.7系统，当前服务器由海南省农垦投资控股集团有限公司（金垦赛博公司）托管。该服务器将于2025年底永久关闭，届时我院历史财务数据将无法访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依据《会计档案管理办法》规定，重要经济业务数据须永久保存。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为确保我院财务数据依规存储，并满足长期查阅与使用需求，故开展本项目，拟将上述财务数据迁移至我院本地服务器。</w:t>
      </w:r>
    </w:p>
    <w:p>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zh-CN" w:eastAsia="zh-CN"/>
        </w:rPr>
      </w:pPr>
      <w:r>
        <w:rPr>
          <w:rFonts w:hint="eastAsia" w:ascii="宋体" w:hAnsi="宋体" w:cs="宋体"/>
          <w:b/>
          <w:color w:val="auto"/>
          <w:sz w:val="24"/>
          <w:szCs w:val="24"/>
          <w:lang w:val="en-US" w:eastAsia="zh-CN"/>
        </w:rPr>
        <w:t>2建设目标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1.完成我院历史财务数据的剥离与迁移。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2.确保我院历史财务数据长期可访问。</w:t>
      </w:r>
    </w:p>
    <w:p>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3建设内容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lang w:val="en-US" w:eastAsia="zh-CN"/>
        </w:rPr>
      </w:pPr>
      <w:r>
        <w:rPr>
          <w:rFonts w:hint="eastAsia" w:ascii="Times New Roman" w:hAnsi="Times New Roman" w:eastAsia="宋体" w:cs="Times New Roman"/>
          <w:color w:val="auto"/>
          <w:sz w:val="24"/>
          <w:lang w:val="en-US" w:eastAsia="zh-CN"/>
        </w:rPr>
        <w:t>1.财务数据迁移服务：我院历史财务数据与金垦赛博公司其他业务数据共同存储于同一服务器，须完成我院</w:t>
      </w:r>
      <w:r>
        <w:rPr>
          <w:rFonts w:hint="eastAsia" w:ascii="Times New Roman" w:hAnsi="Times New Roman" w:eastAsia="宋体" w:cs="Times New Roman"/>
          <w:b w:val="0"/>
          <w:bCs w:val="0"/>
          <w:color w:val="auto"/>
          <w:sz w:val="24"/>
          <w:szCs w:val="24"/>
          <w:lang w:val="en-US" w:eastAsia="zh-CN"/>
        </w:rPr>
        <w:t>在原系统全部财务数据（主要数据时间段为：2009年1月1日至2018年12月31日）</w:t>
      </w:r>
      <w:r>
        <w:rPr>
          <w:rFonts w:hint="eastAsia" w:ascii="Times New Roman" w:hAnsi="Times New Roman" w:eastAsia="宋体" w:cs="Times New Roman"/>
          <w:color w:val="auto"/>
          <w:sz w:val="24"/>
          <w:lang w:val="en-US" w:eastAsia="zh-CN"/>
        </w:rPr>
        <w:t>的剥离与迁移，包括现有用友NC5.7系统数据的提取、清洗、格式转换及安全迁移；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2.数据迁移要求：投标人必须保证迁移数据的安全性、完整性、准确性和有效性。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数据承载软件：投标人须提供与原系统功能相当或更优的数据承载软件（投标总价包含软件购置费），软件须具备数据查询、打印、导入和导出(支持常见格式)等功能，同时须具备原系统的所有报表（查询、统计）功能，且软件的数据展示结果须与原系统一致，确保操作人员能够独立进行数据查询与导出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4.培训与技术支持：提供操作指导、技术支持和系统维护服务。</w:t>
      </w:r>
    </w:p>
    <w:p>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4技术要求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1.投标人应充分理解本次项目的建设内容和目标需求，提出符合医院实际应用需求的具有针对性的整体解决方案，并能对项目过程中的重难点做出分析，提出相应的技术应对方案。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2.数据安全与完整性保障：投标人应采取有效措施，确保数据在剥离、迁移、存储等全流程的安全性、完整性、准确性及有效性。</w:t>
      </w:r>
    </w:p>
    <w:p>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5特别说明</w:t>
      </w:r>
    </w:p>
    <w:p>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投标人应采取有效措施，确保迁移数据的安全、完整、准确和有效；否则，投标人须承担由此给采购人造成的全部损失。</w:t>
      </w:r>
    </w:p>
    <w:p>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投标人须提供与原系统相当或更优的数据承载软件，确保操作人员能够独立进行数据查询与导出操作，否则，采购人有权拒付合同款。</w:t>
      </w:r>
    </w:p>
    <w:p>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b w:val="0"/>
          <w:bCs w:val="0"/>
          <w:color w:val="auto"/>
          <w:sz w:val="24"/>
          <w:szCs w:val="24"/>
          <w:lang w:val="en-US" w:eastAsia="zh-CN"/>
        </w:rPr>
        <w:t>若项目无法按期完成，投标人承担由此给采购人造成的全部损失。</w:t>
      </w:r>
    </w:p>
    <w:p>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6建设依据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1.《会计档案管理办法》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（1）重要经济业务数据须永久保存；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（2）确保数据可读性、安全性及完整性；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（3）支持完整查询、打印及导出功能。</w:t>
      </w:r>
    </w:p>
    <w:p>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7投标人资格要求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1.投标人须具备信息系统集成资质或软件开发服务资质（提供承诺函）；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2.投标人须提供至少3个类似项目案例（如电子档案迁移、财务系统数据迁移）；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3.投标人须持有ISO 9001质量管理体系认证或相关行业资质；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4.投标人须具备本地化服务能力，能提供现场技术支持与培训（提供承诺函）</w:t>
      </w:r>
      <w:bookmarkStart w:id="1" w:name="_GoBack"/>
      <w:bookmarkEnd w:id="1"/>
      <w:r>
        <w:rPr>
          <w:rFonts w:hint="eastAsia" w:ascii="Times New Roman" w:hAnsi="Times New Roman" w:eastAsia="宋体" w:cs="Times New Roman"/>
          <w:color w:val="auto"/>
          <w:sz w:val="24"/>
          <w:lang w:val="en-US" w:eastAsia="zh-CN"/>
        </w:rPr>
        <w:t>。</w:t>
      </w:r>
    </w:p>
    <w:p>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8服务及其他要求</w:t>
      </w:r>
    </w:p>
    <w:p>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8.1项目实施</w:t>
      </w:r>
    </w:p>
    <w:p>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color w:val="auto"/>
          <w:kern w:val="2"/>
          <w:sz w:val="24"/>
          <w:szCs w:val="24"/>
          <w:lang w:val="en-US" w:eastAsia="zh-CN" w:bidi="ar"/>
        </w:rPr>
        <w:t>投标人应于合同签订之日起</w:t>
      </w:r>
      <w:r>
        <w:rPr>
          <w:rFonts w:hint="eastAsia" w:ascii="Times New Roman" w:hAnsi="Times New Roman" w:eastAsia="宋体" w:cs="Times New Roman"/>
          <w:b w:val="0"/>
          <w:color w:val="auto"/>
          <w:kern w:val="2"/>
          <w:sz w:val="24"/>
          <w:szCs w:val="24"/>
          <w:u w:val="single"/>
          <w:lang w:val="en-US" w:eastAsia="zh-CN" w:bidi="ar"/>
        </w:rPr>
        <w:t>30</w:t>
      </w:r>
      <w:r>
        <w:rPr>
          <w:rFonts w:hint="eastAsia" w:ascii="Times New Roman" w:hAnsi="Times New Roman" w:eastAsia="宋体" w:cs="Times New Roman"/>
          <w:b w:val="0"/>
          <w:color w:val="auto"/>
          <w:kern w:val="2"/>
          <w:sz w:val="24"/>
          <w:szCs w:val="24"/>
          <w:lang w:val="en-US" w:eastAsia="zh-CN" w:bidi="ar"/>
        </w:rPr>
        <w:t>个日历日内完成本项目全部建设内容。投标人</w:t>
      </w:r>
      <w:r>
        <w:rPr>
          <w:rFonts w:hint="eastAsia" w:ascii="Times New Roman" w:hAnsi="Times New Roman" w:eastAsia="宋体" w:cs="Times New Roman"/>
          <w:b w:val="0"/>
          <w:bCs w:val="0"/>
          <w:color w:val="auto"/>
          <w:sz w:val="24"/>
          <w:szCs w:val="24"/>
          <w:highlight w:val="none"/>
          <w:lang w:val="en-US" w:eastAsia="zh-CN"/>
        </w:rPr>
        <w:t>未能按期完成项目建设内容，逾期交付的，投标人应当每天按合同总价款的1％向采购人支付违约金。投标人逾期15天未完成项目交付，采购人有权单方解除合同，合同的解除不影响采购人依据本条款向投标人追缴违约金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投标人应切实做好项目进度管理规划，在确保项目质量和安全的原则下，控制项目进度，确保项目按期完成。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项目实施期间，投标人应根据项目建设内容和进度需要，安排具有一定资质能力水平的成员组成项目团队负责本项目的实施工作。项目团队应配置合理且具有较为合理明确的分工。</w:t>
      </w:r>
    </w:p>
    <w:p>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8.2项目培训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项目实施期间，投标人应面向管理员、操作人员等不同群体提供系统化、定制化和有针对性的培训。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培训费用已经包含在投标报价中，采购人不再另行付费。</w:t>
      </w:r>
    </w:p>
    <w:p>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8.3售后服务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本项目保修期为签订项目终验报告之日起六年。保修期内，投标人提供如下服务：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投标人必须提供7*24小时技术支持热线电话（固话，手机）。当发生故障时，自报障时起算，1小时内响应，一般故障应于2小时内解决，严重故障应于24小时内解决。如技术服务人员非现场不能排除故障，除双方另有约定外，必须保证12小时内到达现场进行故障排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2.项目建设完成后，对于采购人在实际使用中所发生的各类问题和疑问，投标人随时帮助采购人了解由投标人提供的产品或服务所引发的异常情况的原因，并提供及时的技术支持和资料帮助。</w:t>
      </w:r>
    </w:p>
    <w:p>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8.4项目验收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本项目采用项目整体验收的方式，所有款项均以人民币支付，项目合同总价以中标价为准。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val="0"/>
          <w:color w:val="auto"/>
          <w:sz w:val="24"/>
          <w:szCs w:val="24"/>
          <w:lang w:val="en-US" w:eastAsia="zh-CN"/>
        </w:rPr>
      </w:pPr>
      <w:r>
        <w:rPr>
          <w:rFonts w:hint="eastAsia" w:ascii="Times New Roman" w:hAnsi="Times New Roman" w:eastAsia="宋体" w:cs="Times New Roman"/>
          <w:b w:val="0"/>
          <w:bCs w:val="0"/>
          <w:color w:val="auto"/>
          <w:sz w:val="24"/>
          <w:lang w:val="en-US" w:eastAsia="zh-CN"/>
        </w:rPr>
        <w:t>项目验收标准为：</w:t>
      </w:r>
      <w:bookmarkStart w:id="0" w:name="_Toc456724221"/>
      <w:r>
        <w:rPr>
          <w:rFonts w:hint="eastAsia" w:ascii="宋体" w:hAnsi="宋体" w:eastAsia="宋体"/>
          <w:b w:val="0"/>
          <w:bCs w:val="0"/>
          <w:color w:val="auto"/>
          <w:sz w:val="24"/>
          <w:szCs w:val="24"/>
          <w:lang w:val="en-US" w:eastAsia="zh-CN"/>
        </w:rPr>
        <w:t>投标人按照采购人要求完成采购人</w:t>
      </w:r>
      <w:r>
        <w:rPr>
          <w:rFonts w:hint="eastAsia" w:ascii="Times New Roman" w:hAnsi="Times New Roman" w:eastAsia="宋体" w:cs="Times New Roman"/>
          <w:b w:val="0"/>
          <w:bCs w:val="0"/>
          <w:color w:val="auto"/>
          <w:sz w:val="24"/>
          <w:szCs w:val="24"/>
          <w:lang w:val="en-US" w:eastAsia="zh-CN"/>
        </w:rPr>
        <w:t>在原系统全部历史财务数据（主要数据时间段为：2009年1月1日至2018年12月31日）的剥离与迁移</w:t>
      </w:r>
      <w:r>
        <w:rPr>
          <w:rFonts w:hint="eastAsia" w:ascii="宋体" w:hAnsi="宋体" w:eastAsia="宋体"/>
          <w:b w:val="0"/>
          <w:bCs w:val="0"/>
          <w:color w:val="auto"/>
          <w:sz w:val="24"/>
          <w:szCs w:val="24"/>
          <w:lang w:val="en-US" w:eastAsia="zh-CN"/>
        </w:rPr>
        <w:t>，迁移数据完整、准确、迁移后数据承载软件的功能满足采购人要求，且数据展示结果</w:t>
      </w:r>
      <w:r>
        <w:rPr>
          <w:rFonts w:hint="eastAsia" w:ascii="Times New Roman" w:hAnsi="Times New Roman" w:eastAsia="宋体" w:cs="Times New Roman"/>
          <w:b w:val="0"/>
          <w:bCs w:val="0"/>
          <w:color w:val="auto"/>
          <w:sz w:val="24"/>
          <w:lang w:val="en-US" w:eastAsia="zh-CN"/>
        </w:rPr>
        <w:t>与原系统一致，</w:t>
      </w:r>
      <w:r>
        <w:rPr>
          <w:rFonts w:hint="eastAsia" w:ascii="宋体" w:hAnsi="宋体" w:eastAsia="宋体"/>
          <w:b w:val="0"/>
          <w:bCs w:val="0"/>
          <w:color w:val="auto"/>
          <w:sz w:val="24"/>
          <w:szCs w:val="24"/>
          <w:lang w:val="en-US" w:eastAsia="zh-CN"/>
        </w:rPr>
        <w:t>投标人向采购人书面提交初验申请</w:t>
      </w:r>
      <w:r>
        <w:rPr>
          <w:rFonts w:hint="eastAsia" w:ascii="Times New Roman" w:hAnsi="Times New Roman" w:eastAsia="宋体" w:cs="Times New Roman"/>
          <w:b w:val="0"/>
          <w:bCs w:val="0"/>
          <w:color w:val="auto"/>
          <w:sz w:val="24"/>
          <w:highlight w:val="none"/>
          <w:lang w:val="en-US" w:eastAsia="zh-CN"/>
        </w:rPr>
        <w:t>并按照采购人要求整理项目文档</w:t>
      </w:r>
      <w:r>
        <w:rPr>
          <w:rFonts w:hint="eastAsia" w:ascii="宋体" w:hAnsi="宋体" w:eastAsia="宋体"/>
          <w:b w:val="0"/>
          <w:bCs w:val="0"/>
          <w:color w:val="auto"/>
          <w:sz w:val="24"/>
          <w:szCs w:val="24"/>
          <w:lang w:val="en-US" w:eastAsia="zh-CN"/>
        </w:rPr>
        <w:t>，经采购人相关部门核验，项目初验通过后，</w:t>
      </w:r>
      <w:r>
        <w:rPr>
          <w:rFonts w:ascii="宋体" w:hAnsi="宋体" w:eastAsia="宋体" w:cs="宋体"/>
          <w:b w:val="0"/>
          <w:bCs w:val="0"/>
          <w:i w:val="0"/>
          <w:iCs w:val="0"/>
          <w:caps w:val="0"/>
          <w:color w:val="auto"/>
          <w:spacing w:val="0"/>
          <w:sz w:val="24"/>
          <w:szCs w:val="24"/>
          <w:vertAlign w:val="baseline"/>
        </w:rPr>
        <w:t>凭</w:t>
      </w:r>
      <w:r>
        <w:rPr>
          <w:rFonts w:hint="eastAsia" w:ascii="宋体" w:hAnsi="宋体" w:eastAsia="宋体" w:cs="宋体"/>
          <w:b w:val="0"/>
          <w:bCs w:val="0"/>
          <w:i w:val="0"/>
          <w:iCs w:val="0"/>
          <w:caps w:val="0"/>
          <w:color w:val="auto"/>
          <w:spacing w:val="0"/>
          <w:sz w:val="24"/>
          <w:szCs w:val="24"/>
          <w:vertAlign w:val="baseline"/>
          <w:lang w:eastAsia="zh-CN"/>
        </w:rPr>
        <w:t>投标人</w:t>
      </w:r>
      <w:r>
        <w:rPr>
          <w:rFonts w:ascii="宋体" w:hAnsi="宋体" w:eastAsia="宋体" w:cs="宋体"/>
          <w:b w:val="0"/>
          <w:bCs w:val="0"/>
          <w:i w:val="0"/>
          <w:iCs w:val="0"/>
          <w:caps w:val="0"/>
          <w:color w:val="auto"/>
          <w:spacing w:val="0"/>
          <w:sz w:val="24"/>
          <w:szCs w:val="24"/>
          <w:vertAlign w:val="baseline"/>
        </w:rPr>
        <w:t>提供的正式有效的含税发票，</w:t>
      </w:r>
      <w:r>
        <w:rPr>
          <w:rFonts w:hint="eastAsia" w:ascii="宋体" w:hAnsi="宋体" w:eastAsia="宋体" w:cs="宋体"/>
          <w:b w:val="0"/>
          <w:bCs w:val="0"/>
          <w:i w:val="0"/>
          <w:iCs w:val="0"/>
          <w:caps w:val="0"/>
          <w:color w:val="auto"/>
          <w:spacing w:val="0"/>
          <w:sz w:val="24"/>
          <w:szCs w:val="24"/>
          <w:vertAlign w:val="baseline"/>
          <w:lang w:eastAsia="zh-CN"/>
        </w:rPr>
        <w:t>采购人</w:t>
      </w:r>
      <w:r>
        <w:rPr>
          <w:rFonts w:ascii="宋体" w:hAnsi="宋体" w:eastAsia="宋体" w:cs="宋体"/>
          <w:b w:val="0"/>
          <w:bCs w:val="0"/>
          <w:i w:val="0"/>
          <w:iCs w:val="0"/>
          <w:caps w:val="0"/>
          <w:color w:val="auto"/>
          <w:spacing w:val="0"/>
          <w:sz w:val="24"/>
          <w:szCs w:val="24"/>
          <w:vertAlign w:val="baseline"/>
        </w:rPr>
        <w:t>办理相关手续后，</w:t>
      </w:r>
      <w:r>
        <w:rPr>
          <w:rFonts w:hint="eastAsia" w:ascii="宋体" w:hAnsi="宋体" w:eastAsia="宋体"/>
          <w:b w:val="0"/>
          <w:bCs w:val="0"/>
          <w:color w:val="auto"/>
          <w:sz w:val="24"/>
          <w:szCs w:val="24"/>
          <w:lang w:val="en-US" w:eastAsia="zh-CN"/>
        </w:rPr>
        <w:t>支付合同总金额的60%；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i w:val="0"/>
          <w:iCs w:val="0"/>
          <w:caps w:val="0"/>
          <w:color w:val="auto"/>
          <w:spacing w:val="0"/>
          <w:sz w:val="24"/>
          <w:szCs w:val="24"/>
          <w:vertAlign w:val="baseline"/>
        </w:rPr>
      </w:pPr>
      <w:r>
        <w:rPr>
          <w:rFonts w:hint="eastAsia" w:ascii="Times New Roman" w:hAnsi="Times New Roman" w:eastAsia="宋体" w:cs="Times New Roman"/>
          <w:color w:val="auto"/>
          <w:sz w:val="24"/>
          <w:highlight w:val="none"/>
          <w:lang w:val="en-US" w:eastAsia="zh-CN"/>
        </w:rPr>
        <w:t>项目</w:t>
      </w:r>
      <w:r>
        <w:rPr>
          <w:rFonts w:ascii="宋体" w:hAnsi="宋体" w:eastAsia="宋体" w:cs="宋体"/>
          <w:i w:val="0"/>
          <w:iCs w:val="0"/>
          <w:caps w:val="0"/>
          <w:color w:val="auto"/>
          <w:spacing w:val="0"/>
          <w:sz w:val="24"/>
          <w:szCs w:val="24"/>
          <w:vertAlign w:val="baseline"/>
        </w:rPr>
        <w:t>初验通过后进入试运行阶段，</w:t>
      </w:r>
      <w:r>
        <w:rPr>
          <w:rFonts w:hint="eastAsia" w:ascii="宋体" w:hAnsi="宋体" w:eastAsia="宋体" w:cs="宋体"/>
          <w:i w:val="0"/>
          <w:iCs w:val="0"/>
          <w:caps w:val="0"/>
          <w:color w:val="auto"/>
          <w:spacing w:val="0"/>
          <w:sz w:val="24"/>
          <w:szCs w:val="24"/>
          <w:vertAlign w:val="baseline"/>
          <w:lang w:val="en-US" w:eastAsia="zh-CN"/>
        </w:rPr>
        <w:t>数据承载软件</w:t>
      </w:r>
      <w:r>
        <w:rPr>
          <w:rFonts w:ascii="宋体" w:hAnsi="宋体" w:eastAsia="宋体" w:cs="宋体"/>
          <w:i w:val="0"/>
          <w:iCs w:val="0"/>
          <w:caps w:val="0"/>
          <w:color w:val="auto"/>
          <w:spacing w:val="0"/>
          <w:sz w:val="24"/>
          <w:szCs w:val="24"/>
          <w:vertAlign w:val="baseline"/>
        </w:rPr>
        <w:t>稳定试运行三个月后，</w:t>
      </w:r>
      <w:r>
        <w:rPr>
          <w:rFonts w:hint="eastAsia" w:ascii="宋体" w:hAnsi="宋体" w:eastAsia="宋体" w:cs="宋体"/>
          <w:i w:val="0"/>
          <w:iCs w:val="0"/>
          <w:caps w:val="0"/>
          <w:color w:val="auto"/>
          <w:spacing w:val="0"/>
          <w:sz w:val="24"/>
          <w:szCs w:val="24"/>
          <w:vertAlign w:val="baseline"/>
          <w:lang w:eastAsia="zh-CN"/>
        </w:rPr>
        <w:t>投标人</w:t>
      </w:r>
      <w:r>
        <w:rPr>
          <w:rFonts w:ascii="宋体" w:hAnsi="宋体" w:eastAsia="宋体" w:cs="宋体"/>
          <w:i w:val="0"/>
          <w:iCs w:val="0"/>
          <w:caps w:val="0"/>
          <w:color w:val="auto"/>
          <w:spacing w:val="0"/>
          <w:sz w:val="24"/>
          <w:szCs w:val="24"/>
          <w:vertAlign w:val="baseline"/>
        </w:rPr>
        <w:t>向</w:t>
      </w:r>
      <w:r>
        <w:rPr>
          <w:rFonts w:hint="eastAsia" w:ascii="宋体" w:hAnsi="宋体" w:eastAsia="宋体" w:cs="宋体"/>
          <w:i w:val="0"/>
          <w:iCs w:val="0"/>
          <w:caps w:val="0"/>
          <w:color w:val="auto"/>
          <w:spacing w:val="0"/>
          <w:sz w:val="24"/>
          <w:szCs w:val="24"/>
          <w:vertAlign w:val="baseline"/>
          <w:lang w:eastAsia="zh-CN"/>
        </w:rPr>
        <w:t>采购人</w:t>
      </w:r>
      <w:r>
        <w:rPr>
          <w:rFonts w:ascii="宋体" w:hAnsi="宋体" w:eastAsia="宋体" w:cs="宋体"/>
          <w:i w:val="0"/>
          <w:iCs w:val="0"/>
          <w:caps w:val="0"/>
          <w:color w:val="auto"/>
          <w:spacing w:val="0"/>
          <w:sz w:val="24"/>
          <w:szCs w:val="24"/>
          <w:vertAlign w:val="baseline"/>
        </w:rPr>
        <w:t>书面提交终验申请，</w:t>
      </w:r>
      <w:r>
        <w:rPr>
          <w:rFonts w:hint="eastAsia" w:ascii="宋体" w:hAnsi="宋体" w:eastAsia="宋体" w:cs="宋体"/>
          <w:i w:val="0"/>
          <w:iCs w:val="0"/>
          <w:caps w:val="0"/>
          <w:color w:val="auto"/>
          <w:spacing w:val="0"/>
          <w:sz w:val="24"/>
          <w:szCs w:val="24"/>
          <w:vertAlign w:val="baseline"/>
          <w:lang w:val="en-US" w:eastAsia="zh-CN"/>
        </w:rPr>
        <w:t>终验通过后，</w:t>
      </w:r>
      <w:r>
        <w:rPr>
          <w:rFonts w:ascii="宋体" w:hAnsi="宋体" w:eastAsia="宋体" w:cs="宋体"/>
          <w:i w:val="0"/>
          <w:iCs w:val="0"/>
          <w:caps w:val="0"/>
          <w:color w:val="auto"/>
          <w:spacing w:val="0"/>
          <w:sz w:val="24"/>
          <w:szCs w:val="24"/>
          <w:vertAlign w:val="baseline"/>
        </w:rPr>
        <w:t>凭</w:t>
      </w:r>
      <w:r>
        <w:rPr>
          <w:rFonts w:hint="eastAsia" w:ascii="宋体" w:hAnsi="宋体" w:eastAsia="宋体" w:cs="宋体"/>
          <w:i w:val="0"/>
          <w:iCs w:val="0"/>
          <w:caps w:val="0"/>
          <w:color w:val="auto"/>
          <w:spacing w:val="0"/>
          <w:sz w:val="24"/>
          <w:szCs w:val="24"/>
          <w:vertAlign w:val="baseline"/>
          <w:lang w:eastAsia="zh-CN"/>
        </w:rPr>
        <w:t>投标人</w:t>
      </w:r>
      <w:r>
        <w:rPr>
          <w:rFonts w:ascii="宋体" w:hAnsi="宋体" w:eastAsia="宋体" w:cs="宋体"/>
          <w:i w:val="0"/>
          <w:iCs w:val="0"/>
          <w:caps w:val="0"/>
          <w:color w:val="auto"/>
          <w:spacing w:val="0"/>
          <w:sz w:val="24"/>
          <w:szCs w:val="24"/>
          <w:vertAlign w:val="baseline"/>
        </w:rPr>
        <w:t>提供的正式有效的含税发票，</w:t>
      </w:r>
      <w:r>
        <w:rPr>
          <w:rFonts w:hint="eastAsia" w:ascii="宋体" w:hAnsi="宋体" w:eastAsia="宋体" w:cs="宋体"/>
          <w:i w:val="0"/>
          <w:iCs w:val="0"/>
          <w:caps w:val="0"/>
          <w:color w:val="auto"/>
          <w:spacing w:val="0"/>
          <w:sz w:val="24"/>
          <w:szCs w:val="24"/>
          <w:vertAlign w:val="baseline"/>
          <w:lang w:eastAsia="zh-CN"/>
        </w:rPr>
        <w:t>采购人</w:t>
      </w:r>
      <w:r>
        <w:rPr>
          <w:rFonts w:ascii="宋体" w:hAnsi="宋体" w:eastAsia="宋体" w:cs="宋体"/>
          <w:i w:val="0"/>
          <w:iCs w:val="0"/>
          <w:caps w:val="0"/>
          <w:color w:val="auto"/>
          <w:spacing w:val="0"/>
          <w:sz w:val="24"/>
          <w:szCs w:val="24"/>
          <w:vertAlign w:val="baseline"/>
        </w:rPr>
        <w:t>办理相关手续，支付合同总</w:t>
      </w:r>
      <w:r>
        <w:rPr>
          <w:rFonts w:hint="eastAsia" w:ascii="宋体" w:hAnsi="宋体" w:eastAsia="宋体" w:cs="宋体"/>
          <w:i w:val="0"/>
          <w:iCs w:val="0"/>
          <w:caps w:val="0"/>
          <w:color w:val="auto"/>
          <w:spacing w:val="0"/>
          <w:sz w:val="24"/>
          <w:szCs w:val="24"/>
          <w:vertAlign w:val="baseline"/>
          <w:lang w:val="en-US" w:eastAsia="zh-CN"/>
        </w:rPr>
        <w:t>金</w:t>
      </w:r>
      <w:r>
        <w:rPr>
          <w:rFonts w:ascii="宋体" w:hAnsi="宋体" w:eastAsia="宋体" w:cs="宋体"/>
          <w:i w:val="0"/>
          <w:iCs w:val="0"/>
          <w:caps w:val="0"/>
          <w:color w:val="auto"/>
          <w:spacing w:val="0"/>
          <w:sz w:val="24"/>
          <w:szCs w:val="24"/>
          <w:vertAlign w:val="baseline"/>
        </w:rPr>
        <w:t>额的</w:t>
      </w:r>
      <w:r>
        <w:rPr>
          <w:rFonts w:ascii="宋体" w:hAnsi="宋体" w:eastAsia="宋体" w:cs="宋体"/>
          <w:i w:val="0"/>
          <w:iCs w:val="0"/>
          <w:caps w:val="0"/>
          <w:color w:val="auto"/>
          <w:spacing w:val="0"/>
          <w:sz w:val="24"/>
          <w:szCs w:val="24"/>
          <w:u w:val="single"/>
          <w:vertAlign w:val="baseline"/>
        </w:rPr>
        <w:t xml:space="preserve"> </w:t>
      </w:r>
      <w:r>
        <w:rPr>
          <w:rFonts w:hint="eastAsia" w:ascii="宋体" w:hAnsi="宋体" w:eastAsia="宋体" w:cs="宋体"/>
          <w:i w:val="0"/>
          <w:iCs w:val="0"/>
          <w:caps w:val="0"/>
          <w:color w:val="auto"/>
          <w:spacing w:val="0"/>
          <w:sz w:val="24"/>
          <w:szCs w:val="24"/>
          <w:u w:val="single"/>
          <w:vertAlign w:val="baseline"/>
          <w:lang w:val="en-US" w:eastAsia="zh-CN"/>
        </w:rPr>
        <w:t>3</w:t>
      </w:r>
      <w:r>
        <w:rPr>
          <w:rFonts w:hint="default" w:ascii="Times New Roman" w:hAnsi="Times New Roman" w:eastAsia="微软雅黑" w:cs="Times New Roman"/>
          <w:i w:val="0"/>
          <w:iCs w:val="0"/>
          <w:caps w:val="0"/>
          <w:color w:val="auto"/>
          <w:spacing w:val="0"/>
          <w:sz w:val="24"/>
          <w:szCs w:val="24"/>
          <w:u w:val="single"/>
          <w:vertAlign w:val="baseline"/>
        </w:rPr>
        <w:t xml:space="preserve">5 </w:t>
      </w:r>
      <w:r>
        <w:rPr>
          <w:rFonts w:hint="default" w:ascii="Times New Roman" w:hAnsi="Times New Roman" w:eastAsia="微软雅黑" w:cs="Times New Roman"/>
          <w:i w:val="0"/>
          <w:iCs w:val="0"/>
          <w:caps w:val="0"/>
          <w:color w:val="auto"/>
          <w:spacing w:val="0"/>
          <w:sz w:val="24"/>
          <w:szCs w:val="24"/>
          <w:vertAlign w:val="baseline"/>
        </w:rPr>
        <w:t>%</w:t>
      </w:r>
      <w:r>
        <w:rPr>
          <w:rFonts w:ascii="宋体" w:hAnsi="宋体" w:eastAsia="宋体" w:cs="宋体"/>
          <w:i w:val="0"/>
          <w:iCs w:val="0"/>
          <w:caps w:val="0"/>
          <w:color w:val="auto"/>
          <w:spacing w:val="0"/>
          <w:sz w:val="24"/>
          <w:szCs w:val="24"/>
          <w:vertAlign w:val="baseli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剩余合同总金额的</w:t>
      </w:r>
      <w:r>
        <w:rPr>
          <w:rFonts w:hint="default"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val="en-US" w:eastAsia="zh-CN"/>
        </w:rPr>
        <w:t>合同款转为质保金，项目终验通过两年后，采购人相关部门对投标人保修服务进行评价（保修期评价表见附件1），根据评价结果，凭投标人提供的正式有效含税发票及投标人向采购人出具的保修期服务承诺函，采购人办理相关手续后，支付剩余合同款项。投标人保修服务不达标，采购人有权拒付或减值支付质保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lang w:val="en-US" w:eastAsia="zh-CN"/>
        </w:rPr>
      </w:pPr>
    </w:p>
    <w:p>
      <w:pPr>
        <w:rPr>
          <w:rFonts w:hint="eastAsia" w:ascii="Times New Roman" w:hAnsi="Times New Roman" w:eastAsia="宋体" w:cs="Times New Roman"/>
          <w:color w:val="FF0000"/>
          <w:sz w:val="24"/>
          <w:lang w:val="en-US" w:eastAsia="zh-CN"/>
        </w:rPr>
      </w:pPr>
      <w:r>
        <w:rPr>
          <w:rFonts w:hint="eastAsia" w:ascii="Times New Roman" w:hAnsi="Times New Roman" w:eastAsia="宋体" w:cs="Times New Roman"/>
          <w:color w:val="FF0000"/>
          <w:sz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附件1</w:t>
      </w:r>
    </w:p>
    <w:p>
      <w:pPr>
        <w:bidi w:val="0"/>
        <w:jc w:val="center"/>
        <w:rPr>
          <w:rFonts w:hint="default" w:ascii="Times New Roman" w:hAnsi="Times New Roman" w:eastAsia="宋体" w:cs="Times New Roman"/>
          <w:snapToGrid w:val="0"/>
          <w:color w:val="auto"/>
          <w:kern w:val="0"/>
          <w:sz w:val="24"/>
          <w:szCs w:val="24"/>
          <w:lang w:val="en-US" w:eastAsia="zh-CN" w:bidi="ar-SA"/>
        </w:rPr>
      </w:pPr>
      <w:r>
        <w:rPr>
          <w:rFonts w:hint="eastAsia" w:ascii="Times New Roman" w:hAnsi="Times New Roman" w:eastAsia="宋体" w:cs="Times New Roman"/>
          <w:snapToGrid w:val="0"/>
          <w:color w:val="auto"/>
          <w:kern w:val="0"/>
          <w:sz w:val="24"/>
          <w:szCs w:val="24"/>
          <w:lang w:val="en-US" w:eastAsia="zh-CN" w:bidi="ar-SA"/>
        </w:rPr>
        <w:t>海南医学院第二附属医院xxxxx项目</w:t>
      </w:r>
    </w:p>
    <w:p>
      <w:pPr>
        <w:bidi w:val="0"/>
        <w:jc w:val="center"/>
        <w:rPr>
          <w:rFonts w:hint="default" w:ascii="宋体" w:hAnsi="宋体" w:cs="宋体"/>
          <w:color w:val="auto"/>
          <w:sz w:val="28"/>
          <w:szCs w:val="28"/>
          <w:lang w:val="en-US" w:eastAsia="zh-CN"/>
        </w:rPr>
      </w:pPr>
      <w:r>
        <w:rPr>
          <w:rFonts w:hint="eastAsia" w:ascii="Times New Roman" w:hAnsi="Times New Roman" w:eastAsia="宋体" w:cs="Times New Roman"/>
          <w:snapToGrid w:val="0"/>
          <w:color w:val="auto"/>
          <w:kern w:val="0"/>
          <w:sz w:val="24"/>
          <w:szCs w:val="24"/>
          <w:lang w:val="en-US" w:eastAsia="zh-CN" w:bidi="ar-SA"/>
        </w:rPr>
        <w:t>保修期评价表</w:t>
      </w:r>
    </w:p>
    <w:tbl>
      <w:tblPr>
        <w:tblStyle w:val="14"/>
        <w:tblW w:w="89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2"/>
        <w:gridCol w:w="532"/>
        <w:gridCol w:w="1459"/>
        <w:gridCol w:w="1773"/>
        <w:gridCol w:w="1418"/>
        <w:gridCol w:w="30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1254" w:type="dxa"/>
            <w:gridSpan w:val="2"/>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项目名称</w:t>
            </w:r>
          </w:p>
        </w:tc>
        <w:tc>
          <w:tcPr>
            <w:tcW w:w="3232" w:type="dxa"/>
            <w:gridSpan w:val="2"/>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lang w:val="en-US" w:eastAsia="zh-CN"/>
              </w:rPr>
            </w:pPr>
          </w:p>
        </w:tc>
        <w:tc>
          <w:tcPr>
            <w:tcW w:w="1418" w:type="dxa"/>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承建供应商</w:t>
            </w:r>
          </w:p>
        </w:tc>
        <w:tc>
          <w:tcPr>
            <w:tcW w:w="3068" w:type="dxa"/>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0" w:hRule="atLeast"/>
        </w:trPr>
        <w:tc>
          <w:tcPr>
            <w:tcW w:w="8972" w:type="dxa"/>
            <w:gridSpan w:val="6"/>
            <w:vAlign w:val="center"/>
          </w:tcPr>
          <w:p>
            <w:pPr>
              <w:pStyle w:val="9"/>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评分规则：本评价表10个评分项，每个评分项0~10分，满分合计100分。各评分项得分合计≤70，本项目质保服务不合格，不予支付质保金；70＜各评分项得分合计≤80，项目质保服务合格，支付70%质保金；80＜各评分项得分合计≤90，质保服务良好，支付85%质保金；90＜各评分项得分合计≤100，质保服务优秀，支付100%质保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72" w:hRule="atLeast"/>
        </w:trPr>
        <w:tc>
          <w:tcPr>
            <w:tcW w:w="722" w:type="dxa"/>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991" w:type="dxa"/>
            <w:gridSpan w:val="2"/>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评价维度</w:t>
            </w:r>
          </w:p>
        </w:tc>
        <w:tc>
          <w:tcPr>
            <w:tcW w:w="6259" w:type="dxa"/>
            <w:gridSpan w:val="3"/>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各评分项0~10分</w:t>
            </w:r>
            <w:r>
              <w:rPr>
                <w:rFonts w:hint="eastAsia" w:ascii="宋体" w:hAnsi="宋体" w:eastAsia="宋体" w:cs="宋体"/>
                <w:sz w:val="21"/>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91" w:type="dxa"/>
            <w:gridSpan w:val="2"/>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系统安全性</w:t>
            </w:r>
          </w:p>
        </w:tc>
        <w:tc>
          <w:tcPr>
            <w:tcW w:w="6259" w:type="dxa"/>
            <w:gridSpan w:val="3"/>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91" w:type="dxa"/>
            <w:gridSpan w:val="2"/>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系统稳定性</w:t>
            </w:r>
          </w:p>
        </w:tc>
        <w:tc>
          <w:tcPr>
            <w:tcW w:w="6259" w:type="dxa"/>
            <w:gridSpan w:val="3"/>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991" w:type="dxa"/>
            <w:gridSpan w:val="2"/>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系统流畅性</w:t>
            </w:r>
          </w:p>
        </w:tc>
        <w:tc>
          <w:tcPr>
            <w:tcW w:w="6259" w:type="dxa"/>
            <w:gridSpan w:val="3"/>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991" w:type="dxa"/>
            <w:gridSpan w:val="2"/>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系统连续性</w:t>
            </w:r>
          </w:p>
        </w:tc>
        <w:tc>
          <w:tcPr>
            <w:tcW w:w="6259" w:type="dxa"/>
            <w:gridSpan w:val="3"/>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991" w:type="dxa"/>
            <w:gridSpan w:val="2"/>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平均无故障时间</w:t>
            </w:r>
          </w:p>
        </w:tc>
        <w:tc>
          <w:tcPr>
            <w:tcW w:w="6259" w:type="dxa"/>
            <w:gridSpan w:val="3"/>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991" w:type="dxa"/>
            <w:gridSpan w:val="2"/>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故障响应时间</w:t>
            </w:r>
          </w:p>
        </w:tc>
        <w:tc>
          <w:tcPr>
            <w:tcW w:w="6259" w:type="dxa"/>
            <w:gridSpan w:val="3"/>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991" w:type="dxa"/>
            <w:gridSpan w:val="2"/>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故障恢复速度</w:t>
            </w:r>
          </w:p>
        </w:tc>
        <w:tc>
          <w:tcPr>
            <w:tcW w:w="6259" w:type="dxa"/>
            <w:gridSpan w:val="3"/>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991" w:type="dxa"/>
            <w:gridSpan w:val="2"/>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故障改进评价</w:t>
            </w:r>
          </w:p>
        </w:tc>
        <w:tc>
          <w:tcPr>
            <w:tcW w:w="6259" w:type="dxa"/>
            <w:gridSpan w:val="3"/>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991" w:type="dxa"/>
            <w:gridSpan w:val="2"/>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系统日常维护</w:t>
            </w:r>
          </w:p>
        </w:tc>
        <w:tc>
          <w:tcPr>
            <w:tcW w:w="6259" w:type="dxa"/>
            <w:gridSpan w:val="3"/>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991" w:type="dxa"/>
            <w:gridSpan w:val="2"/>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日常需求响应</w:t>
            </w:r>
          </w:p>
        </w:tc>
        <w:tc>
          <w:tcPr>
            <w:tcW w:w="6259" w:type="dxa"/>
            <w:gridSpan w:val="3"/>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2713" w:type="dxa"/>
            <w:gridSpan w:val="3"/>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6259" w:type="dxa"/>
            <w:gridSpan w:val="3"/>
            <w:vAlign w:val="top"/>
          </w:tcPr>
          <w:p>
            <w:pPr>
              <w:pStyle w:val="9"/>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8" w:hRule="atLeast"/>
        </w:trPr>
        <w:tc>
          <w:tcPr>
            <w:tcW w:w="8972" w:type="dxa"/>
            <w:gridSpan w:val="6"/>
          </w:tcPr>
          <w:p>
            <w:pPr>
              <w:pStyle w:val="9"/>
              <w:widowControl w:val="0"/>
              <w:spacing w:before="87"/>
              <w:ind w:left="0"/>
              <w:jc w:val="both"/>
              <w:rPr>
                <w:rFonts w:hint="eastAsia" w:ascii="宋体" w:hAnsi="宋体" w:eastAsia="宋体" w:cs="宋体"/>
                <w:sz w:val="21"/>
                <w:szCs w:val="21"/>
              </w:rPr>
            </w:pPr>
            <w:r>
              <w:rPr>
                <w:rFonts w:hint="eastAsia" w:ascii="宋体" w:hAnsi="宋体" w:eastAsia="宋体" w:cs="宋体"/>
                <w:sz w:val="21"/>
                <w:szCs w:val="21"/>
              </w:rPr>
              <w:t>评价意见：</w:t>
            </w:r>
          </w:p>
          <w:p>
            <w:pPr>
              <w:pStyle w:val="9"/>
              <w:widowControl w:val="0"/>
              <w:spacing w:before="87"/>
              <w:ind w:left="0"/>
              <w:jc w:val="both"/>
              <w:rPr>
                <w:rFonts w:hint="eastAsia" w:ascii="宋体" w:hAnsi="宋体" w:eastAsia="宋体" w:cs="宋体"/>
                <w:sz w:val="21"/>
                <w:szCs w:val="21"/>
              </w:rPr>
            </w:pPr>
          </w:p>
          <w:p>
            <w:pPr>
              <w:pStyle w:val="9"/>
              <w:widowControl w:val="0"/>
              <w:spacing w:before="87"/>
              <w:ind w:left="0"/>
              <w:jc w:val="both"/>
              <w:rPr>
                <w:rFonts w:hint="eastAsia" w:ascii="宋体" w:hAnsi="宋体" w:eastAsia="宋体" w:cs="宋体"/>
                <w:sz w:val="21"/>
                <w:szCs w:val="21"/>
              </w:rPr>
            </w:pPr>
          </w:p>
          <w:p>
            <w:pPr>
              <w:pStyle w:val="9"/>
              <w:widowControl w:val="0"/>
              <w:spacing w:before="87"/>
              <w:ind w:left="0"/>
              <w:jc w:val="both"/>
              <w:rPr>
                <w:rFonts w:hint="eastAsia" w:ascii="宋体" w:hAnsi="宋体" w:eastAsia="宋体" w:cs="宋体"/>
                <w:sz w:val="21"/>
                <w:szCs w:val="21"/>
              </w:rPr>
            </w:pPr>
          </w:p>
          <w:p>
            <w:pPr>
              <w:pStyle w:val="9"/>
              <w:widowControl w:val="0"/>
              <w:spacing w:before="87"/>
              <w:ind w:left="0"/>
              <w:jc w:val="both"/>
              <w:rPr>
                <w:rFonts w:hint="eastAsia" w:ascii="宋体" w:hAnsi="宋体" w:eastAsia="宋体" w:cs="宋体"/>
                <w:sz w:val="21"/>
                <w:szCs w:val="21"/>
              </w:rPr>
            </w:pPr>
          </w:p>
          <w:p>
            <w:pPr>
              <w:pStyle w:val="9"/>
              <w:widowControl w:val="0"/>
              <w:spacing w:before="87"/>
              <w:ind w:left="0"/>
              <w:jc w:val="both"/>
              <w:rPr>
                <w:rFonts w:hint="eastAsia" w:ascii="宋体" w:hAnsi="宋体" w:eastAsia="宋体" w:cs="宋体"/>
                <w:sz w:val="21"/>
                <w:szCs w:val="21"/>
              </w:rPr>
            </w:pPr>
          </w:p>
          <w:p>
            <w:pPr>
              <w:pStyle w:val="9"/>
              <w:widowControl w:val="0"/>
              <w:spacing w:before="87"/>
              <w:ind w:left="0"/>
              <w:jc w:val="both"/>
              <w:rPr>
                <w:rFonts w:hint="eastAsia" w:ascii="宋体" w:hAnsi="宋体" w:eastAsia="宋体" w:cs="宋体"/>
                <w:sz w:val="21"/>
                <w:szCs w:val="21"/>
              </w:rPr>
            </w:pPr>
          </w:p>
          <w:p>
            <w:pPr>
              <w:pStyle w:val="9"/>
              <w:widowControl w:val="0"/>
              <w:spacing w:before="87"/>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9"/>
              <w:widowControl w:val="0"/>
              <w:spacing w:before="87"/>
              <w:jc w:val="both"/>
              <w:rPr>
                <w:rFonts w:hint="eastAsia" w:ascii="宋体" w:hAnsi="宋体" w:eastAsia="宋体" w:cs="宋体"/>
                <w:sz w:val="21"/>
                <w:szCs w:val="21"/>
              </w:rPr>
            </w:pPr>
            <w:r>
              <w:rPr>
                <w:rFonts w:hint="eastAsia" w:ascii="宋体" w:hAnsi="宋体" w:eastAsia="宋体" w:cs="宋体"/>
                <w:sz w:val="21"/>
                <w:szCs w:val="21"/>
                <w:lang w:val="en-US" w:eastAsia="zh-CN"/>
              </w:rPr>
              <w:t>签字：</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日期：      年    月    日</w:t>
            </w:r>
            <w:r>
              <w:rPr>
                <w:rFonts w:hint="eastAsia" w:ascii="宋体" w:hAnsi="宋体" w:eastAsia="宋体" w:cs="宋体"/>
                <w:sz w:val="21"/>
                <w:szCs w:val="21"/>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lang w:val="en-US" w:eastAsia="zh-CN"/>
        </w:rPr>
      </w:pPr>
    </w:p>
    <w:bookmarkEnd w:id="0"/>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436D3"/>
    <w:multiLevelType w:val="multilevel"/>
    <w:tmpl w:val="197436D3"/>
    <w:lvl w:ilvl="0" w:tentative="0">
      <w:start w:val="1"/>
      <w:numFmt w:val="decimal"/>
      <w:pStyle w:val="2"/>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color w:val="000000" w:themeColor="text1"/>
        <w14:textFill>
          <w14:solidFill>
            <w14:schemeClr w14:val="tx1"/>
          </w14:solidFill>
        </w14:textFill>
      </w:rPr>
    </w:lvl>
    <w:lvl w:ilvl="3" w:tentative="0">
      <w:start w:val="1"/>
      <w:numFmt w:val="decimal"/>
      <w:pStyle w:val="5"/>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MjBkYzQ0YmNjYTVmYzc4NDMzYjZjZGZiNjUyOTEifQ=="/>
  </w:docVars>
  <w:rsids>
    <w:rsidRoot w:val="7AD66152"/>
    <w:rsid w:val="00D743B5"/>
    <w:rsid w:val="01017684"/>
    <w:rsid w:val="01BB5A85"/>
    <w:rsid w:val="028E13EB"/>
    <w:rsid w:val="03630182"/>
    <w:rsid w:val="041C54DC"/>
    <w:rsid w:val="0421047C"/>
    <w:rsid w:val="045E1BB5"/>
    <w:rsid w:val="057E5747"/>
    <w:rsid w:val="06915006"/>
    <w:rsid w:val="06E93094"/>
    <w:rsid w:val="08C34FC8"/>
    <w:rsid w:val="08CC0577"/>
    <w:rsid w:val="091F4B4B"/>
    <w:rsid w:val="096A04BC"/>
    <w:rsid w:val="09D0551A"/>
    <w:rsid w:val="0D8B27AF"/>
    <w:rsid w:val="0EC56195"/>
    <w:rsid w:val="10FD7E68"/>
    <w:rsid w:val="110D797F"/>
    <w:rsid w:val="119F51C8"/>
    <w:rsid w:val="12505D75"/>
    <w:rsid w:val="12B46304"/>
    <w:rsid w:val="13C94C8B"/>
    <w:rsid w:val="1464773A"/>
    <w:rsid w:val="149E6080"/>
    <w:rsid w:val="155454DC"/>
    <w:rsid w:val="1585042C"/>
    <w:rsid w:val="15F66C34"/>
    <w:rsid w:val="162F7565"/>
    <w:rsid w:val="16AF39B2"/>
    <w:rsid w:val="180D4CFF"/>
    <w:rsid w:val="186E164B"/>
    <w:rsid w:val="18E15979"/>
    <w:rsid w:val="199D3F96"/>
    <w:rsid w:val="1A0C111B"/>
    <w:rsid w:val="1B714D15"/>
    <w:rsid w:val="1C984EE8"/>
    <w:rsid w:val="1DE63A32"/>
    <w:rsid w:val="1DFC5003"/>
    <w:rsid w:val="1E546BED"/>
    <w:rsid w:val="1E6609A8"/>
    <w:rsid w:val="1F8D685B"/>
    <w:rsid w:val="1FCC3262"/>
    <w:rsid w:val="201F7B0E"/>
    <w:rsid w:val="21470C8B"/>
    <w:rsid w:val="217A6F92"/>
    <w:rsid w:val="23C14D25"/>
    <w:rsid w:val="24374FE7"/>
    <w:rsid w:val="24656A75"/>
    <w:rsid w:val="251F61A7"/>
    <w:rsid w:val="25F25669"/>
    <w:rsid w:val="26355556"/>
    <w:rsid w:val="27673E35"/>
    <w:rsid w:val="27F60D15"/>
    <w:rsid w:val="28074A5A"/>
    <w:rsid w:val="28221B0A"/>
    <w:rsid w:val="286640ED"/>
    <w:rsid w:val="295D3455"/>
    <w:rsid w:val="29946A38"/>
    <w:rsid w:val="29A934E0"/>
    <w:rsid w:val="2A905451"/>
    <w:rsid w:val="2A924D25"/>
    <w:rsid w:val="2A9C5BA4"/>
    <w:rsid w:val="2C1125C1"/>
    <w:rsid w:val="2C770676"/>
    <w:rsid w:val="2EFB0FCD"/>
    <w:rsid w:val="2FEF6776"/>
    <w:rsid w:val="3005243D"/>
    <w:rsid w:val="30466CDD"/>
    <w:rsid w:val="30A457B2"/>
    <w:rsid w:val="318B6972"/>
    <w:rsid w:val="329A4084"/>
    <w:rsid w:val="335214F5"/>
    <w:rsid w:val="33615BDC"/>
    <w:rsid w:val="338E42A7"/>
    <w:rsid w:val="34A264AC"/>
    <w:rsid w:val="35120787"/>
    <w:rsid w:val="35577297"/>
    <w:rsid w:val="356B4AF0"/>
    <w:rsid w:val="365E1EC3"/>
    <w:rsid w:val="373A6E70"/>
    <w:rsid w:val="37742628"/>
    <w:rsid w:val="394F0285"/>
    <w:rsid w:val="3A7240D1"/>
    <w:rsid w:val="3AA12D62"/>
    <w:rsid w:val="3BB1747B"/>
    <w:rsid w:val="3C97441D"/>
    <w:rsid w:val="3D1B504E"/>
    <w:rsid w:val="3DC70D32"/>
    <w:rsid w:val="3E020217"/>
    <w:rsid w:val="3EF22F43"/>
    <w:rsid w:val="3F7722E4"/>
    <w:rsid w:val="400D12D9"/>
    <w:rsid w:val="407F1EAC"/>
    <w:rsid w:val="40A75C74"/>
    <w:rsid w:val="40FC2E11"/>
    <w:rsid w:val="446077EA"/>
    <w:rsid w:val="45124F88"/>
    <w:rsid w:val="4559349F"/>
    <w:rsid w:val="45886FF9"/>
    <w:rsid w:val="47D66741"/>
    <w:rsid w:val="48013092"/>
    <w:rsid w:val="485A1120"/>
    <w:rsid w:val="48711FC6"/>
    <w:rsid w:val="487223A4"/>
    <w:rsid w:val="48C63B3C"/>
    <w:rsid w:val="48D10FAC"/>
    <w:rsid w:val="49584CE0"/>
    <w:rsid w:val="49995C78"/>
    <w:rsid w:val="49BF6D61"/>
    <w:rsid w:val="4A1D0657"/>
    <w:rsid w:val="4A286FFC"/>
    <w:rsid w:val="4A3A3C39"/>
    <w:rsid w:val="4AB266D9"/>
    <w:rsid w:val="4E661EA1"/>
    <w:rsid w:val="4EEC14ED"/>
    <w:rsid w:val="50827466"/>
    <w:rsid w:val="52BA32C7"/>
    <w:rsid w:val="54244390"/>
    <w:rsid w:val="54944866"/>
    <w:rsid w:val="550F6DEF"/>
    <w:rsid w:val="561641AD"/>
    <w:rsid w:val="56BC6B02"/>
    <w:rsid w:val="57FF578B"/>
    <w:rsid w:val="58DA5965"/>
    <w:rsid w:val="59E71176"/>
    <w:rsid w:val="5A4C4641"/>
    <w:rsid w:val="5B1B2426"/>
    <w:rsid w:val="5B9B5880"/>
    <w:rsid w:val="5C0F3B78"/>
    <w:rsid w:val="5DC01A65"/>
    <w:rsid w:val="5E3B0C54"/>
    <w:rsid w:val="5E9B16F3"/>
    <w:rsid w:val="617A7CE6"/>
    <w:rsid w:val="623E0D13"/>
    <w:rsid w:val="641B4B1B"/>
    <w:rsid w:val="656767D3"/>
    <w:rsid w:val="66CB4B3F"/>
    <w:rsid w:val="68014CBD"/>
    <w:rsid w:val="68060525"/>
    <w:rsid w:val="69074555"/>
    <w:rsid w:val="69363409"/>
    <w:rsid w:val="6A39487D"/>
    <w:rsid w:val="6A467B84"/>
    <w:rsid w:val="6A6D03E7"/>
    <w:rsid w:val="6BCC3834"/>
    <w:rsid w:val="6DD662A4"/>
    <w:rsid w:val="6F906926"/>
    <w:rsid w:val="703B2D36"/>
    <w:rsid w:val="71A010A2"/>
    <w:rsid w:val="76103665"/>
    <w:rsid w:val="764364A0"/>
    <w:rsid w:val="787E1A12"/>
    <w:rsid w:val="79AF6982"/>
    <w:rsid w:val="7AA11299"/>
    <w:rsid w:val="7AD66152"/>
    <w:rsid w:val="7BD27D0E"/>
    <w:rsid w:val="7C860B49"/>
    <w:rsid w:val="7CF229CE"/>
    <w:rsid w:val="7D1F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ind w:firstLine="420"/>
    </w:pPr>
    <w:rPr>
      <w:rFonts w:ascii="Times New Roman" w:hAnsi="Times New Roman"/>
      <w:kern w:val="0"/>
      <w:sz w:val="20"/>
      <w:szCs w:val="20"/>
    </w:rPr>
  </w:style>
  <w:style w:type="paragraph" w:styleId="9">
    <w:name w:val="Body Text"/>
    <w:basedOn w:val="1"/>
    <w:qFormat/>
    <w:uiPriority w:val="99"/>
    <w:pPr>
      <w:spacing w:after="120"/>
    </w:pPr>
    <w:rPr>
      <w:rFonts w:ascii="Tahoma" w:hAnsi="Tahoma" w:eastAsia="等线"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12">
    <w:name w:val="Normal (Web)"/>
    <w:basedOn w:val="1"/>
    <w:qFormat/>
    <w:uiPriority w:val="0"/>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1"/>
    <w:basedOn w:val="17"/>
    <w:qFormat/>
    <w:uiPriority w:val="0"/>
    <w:pPr>
      <w:spacing w:line="318" w:lineRule="atLeast"/>
      <w:ind w:left="369" w:firstLine="369"/>
    </w:pPr>
    <w:rPr>
      <w:rFonts w:ascii="宋体"/>
      <w:kern w:val="0"/>
      <w:szCs w:val="24"/>
    </w:rPr>
  </w:style>
  <w:style w:type="paragraph" w:customStyle="1" w:styleId="17">
    <w:name w:val="正文_1"/>
    <w:basedOn w:val="18"/>
    <w:qFormat/>
    <w:uiPriority w:val="0"/>
    <w:rPr>
      <w:rFonts w:cs="Calibri"/>
      <w:szCs w:val="21"/>
    </w:rPr>
  </w:style>
  <w:style w:type="paragraph" w:customStyle="1" w:styleId="18">
    <w:name w:val="正文_2"/>
    <w:basedOn w:val="19"/>
    <w:next w:val="25"/>
    <w:qFormat/>
    <w:uiPriority w:val="0"/>
  </w:style>
  <w:style w:type="paragraph" w:customStyle="1" w:styleId="19">
    <w:name w:val="正文_3"/>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正文文本_1"/>
    <w:basedOn w:val="21"/>
    <w:unhideWhenUsed/>
    <w:qFormat/>
    <w:uiPriority w:val="0"/>
    <w:pPr>
      <w:spacing w:after="120"/>
    </w:pPr>
    <w:rPr>
      <w:rFonts w:eastAsia="宋体" w:cs="Times New Roman"/>
    </w:rPr>
  </w:style>
  <w:style w:type="paragraph" w:customStyle="1" w:styleId="21">
    <w:name w:val="正文_2_0"/>
    <w:basedOn w:val="22"/>
    <w:next w:val="20"/>
    <w:qFormat/>
    <w:uiPriority w:val="0"/>
    <w:rPr>
      <w:rFonts w:ascii="Calibri" w:hAnsi="Calibri"/>
      <w:sz w:val="21"/>
      <w:lang w:eastAsia="zh-CN"/>
    </w:rPr>
  </w:style>
  <w:style w:type="paragraph" w:customStyle="1" w:styleId="22">
    <w:name w:val="正文_3_0"/>
    <w:basedOn w:val="23"/>
    <w:qFormat/>
    <w:uiPriority w:val="0"/>
    <w:pPr>
      <w:autoSpaceDE w:val="0"/>
      <w:autoSpaceDN w:val="0"/>
    </w:pPr>
    <w:rPr>
      <w:rFonts w:ascii="仿宋" w:hAnsi="仿宋" w:eastAsia="仿宋" w:cs="仿宋"/>
      <w:sz w:val="22"/>
      <w:lang w:eastAsia="en-US"/>
    </w:rPr>
  </w:style>
  <w:style w:type="paragraph" w:customStyle="1" w:styleId="23">
    <w:name w:val="正文_4_0"/>
    <w:basedOn w:val="24"/>
    <w:qFormat/>
    <w:uiPriority w:val="0"/>
  </w:style>
  <w:style w:type="paragraph" w:customStyle="1" w:styleId="2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无间隔1"/>
    <w:basedOn w:val="1"/>
    <w:next w:val="26"/>
    <w:qFormat/>
    <w:uiPriority w:val="1"/>
  </w:style>
  <w:style w:type="paragraph" w:customStyle="1" w:styleId="26">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sz w:val="21"/>
      <w:szCs w:val="20"/>
    </w:rPr>
  </w:style>
  <w:style w:type="paragraph" w:customStyle="1" w:styleId="27">
    <w:name w:val="楷体粗正文文字"/>
    <w:basedOn w:val="1"/>
    <w:next w:val="11"/>
    <w:qFormat/>
    <w:uiPriority w:val="0"/>
    <w:pPr>
      <w:snapToGrid w:val="0"/>
      <w:spacing w:line="480" w:lineRule="exact"/>
      <w:ind w:firstLine="560" w:firstLineChars="0"/>
    </w:pPr>
    <w:rPr>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5</Pages>
  <Words>2482</Words>
  <Characters>2585</Characters>
  <Lines>0</Lines>
  <Paragraphs>0</Paragraphs>
  <TotalTime>0</TotalTime>
  <ScaleCrop>false</ScaleCrop>
  <LinksUpToDate>false</LinksUpToDate>
  <CharactersWithSpaces>2688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2023-11-16T01:28:00Z</dcterms:created>
  <dc:creator></dc:creator>
  <cp:lastModifiedBy>Administrator</cp:lastModifiedBy>
  <dcterms:modified xsi:type="dcterms:W3CDTF">2025-07-04T03:21:35Z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E519477160644374B38272517FA5100D</vt:lpwstr>
  </property>
  <property fmtid="{D5CDD505-2E9C-101B-9397-08002B2CF9AE}" pid="4" name="KSOTemplateDocerSaveRecord">
    <vt:lpwstr>eyJoZGlkIjoiZWEzMjBkYzQ0YmNjYTVmYzc4NDMzYjZjZGZiNjUyOTEiLCJ1c2VySWQiOiI2NjI1OTUwNjcifQ==</vt:lpwstr>
  </property>
</Properties>
</file>