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628D">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海南医科大学第二附属医院</w:t>
      </w:r>
    </w:p>
    <w:p w14:paraId="18AC29F1">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rPr>
        <w:t>国家传染病智能监测预警前置软件</w:t>
      </w:r>
      <w:r>
        <w:rPr>
          <w:rFonts w:hint="eastAsia" w:ascii="宋体" w:hAnsi="宋体" w:eastAsia="宋体" w:cs="宋体"/>
          <w:b/>
          <w:bCs/>
          <w:color w:val="000000"/>
          <w:kern w:val="0"/>
          <w:sz w:val="32"/>
          <w:szCs w:val="32"/>
        </w:rPr>
        <w:t>运维服务</w:t>
      </w:r>
    </w:p>
    <w:p w14:paraId="3238B8BA">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rPr>
        <w:t>项目</w:t>
      </w:r>
      <w:r>
        <w:rPr>
          <w:rFonts w:hint="eastAsia" w:ascii="宋体" w:hAnsi="宋体" w:eastAsia="宋体" w:cs="宋体"/>
          <w:b/>
          <w:bCs/>
          <w:color w:val="000000"/>
          <w:kern w:val="0"/>
          <w:sz w:val="32"/>
          <w:szCs w:val="32"/>
          <w:lang w:val="en-US" w:eastAsia="zh-CN"/>
        </w:rPr>
        <w:t>需求书</w:t>
      </w:r>
    </w:p>
    <w:p w14:paraId="7DDA842B">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eastAsia="zh-CN"/>
        </w:rPr>
      </w:pPr>
      <w:r>
        <w:rPr>
          <w:rFonts w:hint="eastAsia" w:asciiTheme="minorHAnsi" w:hAnsiTheme="minorHAnsi" w:eastAsiaTheme="minorEastAsia" w:cstheme="minorBidi"/>
          <w:b/>
          <w:sz w:val="24"/>
          <w:szCs w:val="24"/>
          <w:lang w:val="en-US" w:eastAsia="zh-CN"/>
        </w:rPr>
        <w:t>一、</w:t>
      </w:r>
      <w:r>
        <w:rPr>
          <w:rFonts w:hint="eastAsia" w:asciiTheme="minorHAnsi" w:hAnsiTheme="minorHAnsi" w:eastAsiaTheme="minorEastAsia" w:cstheme="minorBidi"/>
          <w:b/>
          <w:sz w:val="24"/>
          <w:szCs w:val="24"/>
          <w:lang w:eastAsia="zh-CN"/>
        </w:rPr>
        <w:t>项目需求</w:t>
      </w:r>
    </w:p>
    <w:p w14:paraId="4FC111B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1.本项目报价应包括：维护期内系统的养护、检测、用户培训、故障排除、数据库及软件服务巡检、技术支持等工作所需费用、税费等在内的全部费用。</w:t>
      </w:r>
    </w:p>
    <w:p w14:paraId="0EC1A9C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2.成交报价人不得以任何方式转包或分包本项目。</w:t>
      </w:r>
    </w:p>
    <w:p w14:paraId="691C321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3.本次采购的系统维护期限为五年，价格为实际中标价格。</w:t>
      </w:r>
    </w:p>
    <w:p w14:paraId="4542FF9F">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二、采购清单</w:t>
      </w:r>
    </w:p>
    <w:tbl>
      <w:tblPr>
        <w:tblStyle w:val="7"/>
        <w:tblW w:w="84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2368"/>
        <w:gridCol w:w="704"/>
        <w:gridCol w:w="1719"/>
        <w:gridCol w:w="2696"/>
      </w:tblGrid>
      <w:tr w14:paraId="6ABA9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63" w:type="dxa"/>
            <w:shd w:val="clear" w:color="auto" w:fill="E0E0E0"/>
            <w:noWrap w:val="0"/>
            <w:vAlign w:val="center"/>
          </w:tcPr>
          <w:p w14:paraId="07CE64A4">
            <w:pPr>
              <w:spacing w:line="360" w:lineRule="auto"/>
              <w:jc w:val="center"/>
              <w:rPr>
                <w:rFonts w:ascii="宋体" w:hAnsi="宋体"/>
                <w:b/>
                <w:bCs/>
                <w:color w:val="000000"/>
                <w:szCs w:val="21"/>
              </w:rPr>
            </w:pPr>
            <w:r>
              <w:rPr>
                <w:rFonts w:hint="eastAsia" w:ascii="宋体" w:hAnsi="宋体"/>
                <w:b/>
                <w:bCs/>
                <w:color w:val="000000"/>
                <w:szCs w:val="21"/>
              </w:rPr>
              <w:t>序号</w:t>
            </w:r>
          </w:p>
        </w:tc>
        <w:tc>
          <w:tcPr>
            <w:tcW w:w="2368" w:type="dxa"/>
            <w:shd w:val="clear" w:color="auto" w:fill="E0E0E0"/>
            <w:noWrap w:val="0"/>
            <w:vAlign w:val="center"/>
          </w:tcPr>
          <w:p w14:paraId="5E69A9E3">
            <w:pPr>
              <w:spacing w:line="360" w:lineRule="auto"/>
              <w:jc w:val="center"/>
              <w:rPr>
                <w:rFonts w:ascii="宋体" w:hAnsi="宋体"/>
                <w:b/>
                <w:bCs/>
                <w:color w:val="000000"/>
                <w:szCs w:val="21"/>
              </w:rPr>
            </w:pPr>
            <w:r>
              <w:rPr>
                <w:rFonts w:hint="eastAsia" w:ascii="宋体" w:hAnsi="宋体"/>
                <w:b/>
                <w:bCs/>
                <w:color w:val="000000"/>
                <w:szCs w:val="21"/>
              </w:rPr>
              <w:t>名称</w:t>
            </w:r>
          </w:p>
        </w:tc>
        <w:tc>
          <w:tcPr>
            <w:tcW w:w="704" w:type="dxa"/>
            <w:tcBorders>
              <w:right w:val="single" w:color="auto" w:sz="4" w:space="0"/>
            </w:tcBorders>
            <w:shd w:val="clear" w:color="auto" w:fill="E0E0E0"/>
            <w:noWrap w:val="0"/>
            <w:vAlign w:val="center"/>
          </w:tcPr>
          <w:p w14:paraId="28A60B31">
            <w:pPr>
              <w:spacing w:line="360" w:lineRule="auto"/>
              <w:jc w:val="center"/>
              <w:rPr>
                <w:rFonts w:ascii="宋体" w:hAnsi="宋体"/>
                <w:b/>
                <w:bCs/>
                <w:color w:val="000000"/>
                <w:szCs w:val="21"/>
              </w:rPr>
            </w:pPr>
            <w:r>
              <w:rPr>
                <w:rFonts w:hint="eastAsia" w:ascii="宋体" w:hAnsi="宋体"/>
                <w:b/>
                <w:bCs/>
                <w:color w:val="000000"/>
                <w:szCs w:val="21"/>
              </w:rPr>
              <w:t>数量</w:t>
            </w:r>
          </w:p>
        </w:tc>
        <w:tc>
          <w:tcPr>
            <w:tcW w:w="1719" w:type="dxa"/>
            <w:tcBorders>
              <w:left w:val="single" w:color="auto" w:sz="4" w:space="0"/>
              <w:right w:val="single" w:color="auto" w:sz="4" w:space="0"/>
            </w:tcBorders>
            <w:shd w:val="clear" w:color="auto" w:fill="E0E0E0"/>
            <w:noWrap w:val="0"/>
            <w:vAlign w:val="center"/>
          </w:tcPr>
          <w:p w14:paraId="3EFC1D49">
            <w:pPr>
              <w:spacing w:line="360" w:lineRule="auto"/>
              <w:jc w:val="center"/>
              <w:rPr>
                <w:rFonts w:ascii="宋体" w:hAnsi="宋体"/>
                <w:b/>
                <w:bCs/>
                <w:color w:val="000000"/>
                <w:szCs w:val="21"/>
              </w:rPr>
            </w:pPr>
            <w:r>
              <w:rPr>
                <w:rFonts w:hint="eastAsia" w:ascii="宋体" w:hAnsi="宋体"/>
                <w:b/>
                <w:bCs/>
                <w:color w:val="000000"/>
                <w:szCs w:val="21"/>
              </w:rPr>
              <w:t>项目预算</w:t>
            </w:r>
          </w:p>
        </w:tc>
        <w:tc>
          <w:tcPr>
            <w:tcW w:w="2696" w:type="dxa"/>
            <w:tcBorders>
              <w:left w:val="single" w:color="auto" w:sz="4" w:space="0"/>
            </w:tcBorders>
            <w:shd w:val="clear" w:color="auto" w:fill="E0E0E0"/>
            <w:noWrap w:val="0"/>
            <w:vAlign w:val="center"/>
          </w:tcPr>
          <w:p w14:paraId="533CA140">
            <w:pPr>
              <w:spacing w:line="360" w:lineRule="auto"/>
              <w:jc w:val="center"/>
              <w:rPr>
                <w:rFonts w:ascii="宋体" w:hAnsi="宋体"/>
                <w:b/>
                <w:bCs/>
                <w:color w:val="000000"/>
                <w:szCs w:val="21"/>
              </w:rPr>
            </w:pPr>
            <w:r>
              <w:rPr>
                <w:rFonts w:hint="eastAsia" w:ascii="宋体" w:hAnsi="宋体"/>
                <w:b/>
                <w:bCs/>
                <w:color w:val="000000"/>
                <w:szCs w:val="21"/>
              </w:rPr>
              <w:t>备注</w:t>
            </w:r>
          </w:p>
        </w:tc>
      </w:tr>
      <w:tr w14:paraId="45875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63" w:type="dxa"/>
            <w:noWrap w:val="0"/>
            <w:vAlign w:val="center"/>
          </w:tcPr>
          <w:p w14:paraId="69067C9E">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w:t>
            </w:r>
          </w:p>
        </w:tc>
        <w:tc>
          <w:tcPr>
            <w:tcW w:w="2368" w:type="dxa"/>
            <w:noWrap w:val="0"/>
            <w:vAlign w:val="center"/>
          </w:tcPr>
          <w:p w14:paraId="4B3A068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海南医科大学第二附属医院国家传染病智能监测预警前置软件运维服务项目</w:t>
            </w:r>
          </w:p>
        </w:tc>
        <w:tc>
          <w:tcPr>
            <w:tcW w:w="704" w:type="dxa"/>
            <w:tcBorders>
              <w:right w:val="single" w:color="auto" w:sz="4" w:space="0"/>
            </w:tcBorders>
            <w:noWrap w:val="0"/>
            <w:vAlign w:val="center"/>
          </w:tcPr>
          <w:p w14:paraId="47CBA82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5年</w:t>
            </w:r>
          </w:p>
        </w:tc>
        <w:tc>
          <w:tcPr>
            <w:tcW w:w="1719" w:type="dxa"/>
            <w:tcBorders>
              <w:left w:val="single" w:color="auto" w:sz="4" w:space="0"/>
              <w:right w:val="single" w:color="auto" w:sz="4" w:space="0"/>
            </w:tcBorders>
            <w:noWrap w:val="0"/>
            <w:vAlign w:val="center"/>
          </w:tcPr>
          <w:p w14:paraId="4C839C8D">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lang w:val="en-US" w:eastAsia="zh-CN" w:bidi="ar"/>
              </w:rPr>
            </w:pPr>
          </w:p>
        </w:tc>
        <w:tc>
          <w:tcPr>
            <w:tcW w:w="2696" w:type="dxa"/>
            <w:tcBorders>
              <w:left w:val="single" w:color="auto" w:sz="4" w:space="0"/>
            </w:tcBorders>
            <w:noWrap w:val="0"/>
            <w:vAlign w:val="center"/>
          </w:tcPr>
          <w:p w14:paraId="0942AB9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本次建设内容为海南医科大学第二附属医院</w:t>
            </w:r>
            <w:bookmarkStart w:id="0" w:name="_GoBack"/>
            <w:bookmarkEnd w:id="0"/>
            <w:r>
              <w:rPr>
                <w:rFonts w:hint="eastAsia" w:ascii="宋体" w:hAnsi="宋体" w:eastAsia="宋体" w:cs="宋体"/>
                <w:snapToGrid/>
                <w:color w:val="000000"/>
                <w:kern w:val="0"/>
                <w:sz w:val="24"/>
                <w:szCs w:val="24"/>
                <w:lang w:val="en-US" w:eastAsia="zh-CN" w:bidi="ar"/>
              </w:rPr>
              <w:t>国家传染病智能监测预警前置软件运维服务项目。维护期限从合同签订之日起计算五年。</w:t>
            </w:r>
          </w:p>
        </w:tc>
      </w:tr>
    </w:tbl>
    <w:p w14:paraId="59941BF6">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三、项目基本要求</w:t>
      </w:r>
    </w:p>
    <w:p w14:paraId="21AF895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color w:val="000000"/>
          <w:kern w:val="0"/>
          <w:sz w:val="24"/>
          <w:szCs w:val="24"/>
        </w:rPr>
      </w:pPr>
      <w:r>
        <w:rPr>
          <w:rFonts w:hint="eastAsia" w:ascii="宋体" w:hAnsi="宋体" w:eastAsia="宋体" w:cs="宋体"/>
          <w:snapToGrid/>
          <w:color w:val="000000"/>
          <w:kern w:val="0"/>
          <w:sz w:val="24"/>
          <w:szCs w:val="24"/>
          <w:lang w:val="en-US" w:eastAsia="zh-CN" w:bidi="ar"/>
        </w:rPr>
        <w:t>（一）服务要求：</w:t>
      </w:r>
    </w:p>
    <w:p w14:paraId="4C4F179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1.</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须保障软件的正常运行，响应院方需求，确保软件的正常使用。</w:t>
      </w:r>
    </w:p>
    <w:p w14:paraId="0BBAC67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2.</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向</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提供的有关数据资料均视为</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的商业秘密，</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不得向任何第三方泄露。</w:t>
      </w:r>
    </w:p>
    <w:p w14:paraId="1D178CA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color w:val="000000"/>
          <w:kern w:val="0"/>
          <w:sz w:val="24"/>
          <w:szCs w:val="24"/>
          <w:highlight w:val="green"/>
        </w:rPr>
      </w:pPr>
      <w:r>
        <w:rPr>
          <w:rFonts w:hint="eastAsia" w:ascii="宋体" w:hAnsi="宋体" w:eastAsia="宋体" w:cs="宋体"/>
          <w:snapToGrid/>
          <w:color w:val="000000"/>
          <w:kern w:val="0"/>
          <w:sz w:val="24"/>
          <w:szCs w:val="24"/>
          <w:lang w:val="en-US" w:eastAsia="zh-CN" w:bidi="ar"/>
        </w:rPr>
        <w:t>（二）服务方式：</w:t>
      </w:r>
    </w:p>
    <w:p w14:paraId="155B6B5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1.</w:t>
      </w:r>
      <w:r>
        <w:rPr>
          <w:rFonts w:hint="eastAsia" w:ascii="宋体" w:hAnsi="宋体" w:eastAsia="宋体" w:cs="宋体"/>
          <w:snapToGrid/>
          <w:color w:val="000000"/>
          <w:kern w:val="0"/>
          <w:sz w:val="24"/>
          <w:szCs w:val="24"/>
          <w:lang w:val="en-US" w:eastAsia="zh-CN" w:bidi="ar"/>
        </w:rPr>
        <w:t>远程电话支持：具有全国客服热线，提供</w:t>
      </w:r>
      <w:r>
        <w:rPr>
          <w:rFonts w:hint="default" w:ascii="宋体" w:hAnsi="宋体" w:eastAsia="宋体" w:cs="宋体"/>
          <w:snapToGrid/>
          <w:color w:val="000000"/>
          <w:kern w:val="0"/>
          <w:sz w:val="24"/>
          <w:szCs w:val="24"/>
          <w:lang w:val="en-US" w:eastAsia="zh-CN" w:bidi="ar"/>
        </w:rPr>
        <w:t>7</w:t>
      </w:r>
      <w:r>
        <w:rPr>
          <w:rFonts w:hint="eastAsia" w:ascii="宋体" w:hAnsi="宋体" w:eastAsia="宋体" w:cs="宋体"/>
          <w:snapToGrid/>
          <w:color w:val="000000"/>
          <w:kern w:val="0"/>
          <w:sz w:val="24"/>
          <w:szCs w:val="24"/>
          <w:lang w:val="en-US" w:eastAsia="zh-CN" w:bidi="ar"/>
        </w:rPr>
        <w:t>×</w:t>
      </w:r>
      <w:r>
        <w:rPr>
          <w:rFonts w:hint="default" w:ascii="宋体" w:hAnsi="宋体" w:eastAsia="宋体" w:cs="宋体"/>
          <w:snapToGrid/>
          <w:color w:val="000000"/>
          <w:kern w:val="0"/>
          <w:sz w:val="24"/>
          <w:szCs w:val="24"/>
          <w:lang w:val="en-US" w:eastAsia="zh-CN" w:bidi="ar"/>
        </w:rPr>
        <w:t>24</w:t>
      </w:r>
      <w:r>
        <w:rPr>
          <w:rFonts w:hint="eastAsia" w:ascii="宋体" w:hAnsi="宋体" w:eastAsia="宋体" w:cs="宋体"/>
          <w:snapToGrid/>
          <w:color w:val="000000"/>
          <w:kern w:val="0"/>
          <w:sz w:val="24"/>
          <w:szCs w:val="24"/>
          <w:lang w:val="en-US" w:eastAsia="zh-CN" w:bidi="ar"/>
        </w:rPr>
        <w:t>小时远程支持或软件技术问题解决与分发。</w:t>
      </w:r>
    </w:p>
    <w:p w14:paraId="61B094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2.</w:t>
      </w:r>
      <w:r>
        <w:rPr>
          <w:rFonts w:hint="eastAsia" w:ascii="宋体" w:hAnsi="宋体" w:eastAsia="宋体" w:cs="宋体"/>
          <w:snapToGrid/>
          <w:color w:val="000000"/>
          <w:kern w:val="0"/>
          <w:sz w:val="24"/>
          <w:szCs w:val="24"/>
          <w:lang w:val="en-US" w:eastAsia="zh-CN" w:bidi="ar"/>
        </w:rPr>
        <w:t>远程技术支持服务：有条件进行远程，将通过远程工具第一时间解决故障问题，保证系统运行。</w:t>
      </w:r>
    </w:p>
    <w:p w14:paraId="4D71861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b w:val="0"/>
          <w:color w:val="0000FF"/>
          <w:kern w:val="0"/>
          <w:sz w:val="24"/>
          <w:szCs w:val="24"/>
        </w:rPr>
      </w:pPr>
      <w:r>
        <w:rPr>
          <w:rFonts w:hint="default" w:ascii="宋体" w:hAnsi="宋体" w:eastAsia="宋体" w:cs="宋体"/>
          <w:snapToGrid/>
          <w:color w:val="000000"/>
          <w:kern w:val="0"/>
          <w:sz w:val="24"/>
          <w:szCs w:val="24"/>
          <w:lang w:val="en-US" w:eastAsia="zh-CN" w:bidi="ar"/>
        </w:rPr>
        <w:t>3.</w:t>
      </w:r>
      <w:r>
        <w:rPr>
          <w:rFonts w:hint="eastAsia" w:ascii="宋体" w:hAnsi="宋体" w:eastAsia="宋体" w:cs="宋体"/>
          <w:snapToGrid/>
          <w:color w:val="000000"/>
          <w:kern w:val="0"/>
          <w:sz w:val="24"/>
          <w:szCs w:val="24"/>
          <w:lang w:val="en-US" w:eastAsia="zh-CN" w:bidi="ar"/>
        </w:rPr>
        <w:t>现场服务：若远程维护无法解决故障问题，投标人应</w:t>
      </w:r>
      <w:r>
        <w:rPr>
          <w:rFonts w:hint="eastAsia" w:ascii="宋体" w:hAnsi="宋体" w:cs="宋体"/>
          <w:snapToGrid/>
          <w:color w:val="000000"/>
          <w:kern w:val="0"/>
          <w:sz w:val="24"/>
          <w:szCs w:val="24"/>
          <w:lang w:val="en-US" w:eastAsia="zh-CN" w:bidi="ar"/>
        </w:rPr>
        <w:t>立即</w:t>
      </w:r>
      <w:r>
        <w:rPr>
          <w:rFonts w:hint="eastAsia" w:ascii="宋体" w:hAnsi="宋体" w:eastAsia="宋体" w:cs="宋体"/>
          <w:snapToGrid/>
          <w:color w:val="000000"/>
          <w:kern w:val="0"/>
          <w:sz w:val="24"/>
          <w:szCs w:val="24"/>
          <w:lang w:val="en-US" w:eastAsia="zh-CN" w:bidi="ar"/>
        </w:rPr>
        <w:t>派遣技术人员到使用现场解决问题，并对系统进行系统保障的服务。</w:t>
      </w:r>
    </w:p>
    <w:p w14:paraId="1697EF1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kern w:val="0"/>
          <w:sz w:val="24"/>
          <w:szCs w:val="24"/>
        </w:rPr>
      </w:pPr>
      <w:r>
        <w:rPr>
          <w:rFonts w:hint="eastAsia" w:ascii="宋体" w:hAnsi="宋体" w:eastAsia="宋体" w:cs="宋体"/>
          <w:snapToGrid/>
          <w:color w:val="000000"/>
          <w:kern w:val="0"/>
          <w:sz w:val="24"/>
          <w:szCs w:val="24"/>
          <w:lang w:val="en-US" w:eastAsia="zh-CN" w:bidi="ar"/>
        </w:rPr>
        <w:t>（三）联机服务：</w:t>
      </w:r>
    </w:p>
    <w:p w14:paraId="3B6F7DF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故障维护：配合院方解决系统运行过程中由于网络、服务器、计算机、操作系统等原因所产生的软件无法正常运行的情况，保障系统的正常运行，并在完成故障处理后出具产品维护报告，包含问题的原因、解决办法及建议。</w:t>
      </w:r>
    </w:p>
    <w:p w14:paraId="64A5989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软件正确性维护：软件运行过程中新发现的软件错误，负责维护并及时改进，同时向院方提供软件维护说明。</w:t>
      </w:r>
    </w:p>
    <w:p w14:paraId="2771997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系统升级服务：须与国家端前置软件功能保持同步。</w:t>
      </w:r>
    </w:p>
    <w:p w14:paraId="3F39C96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数据迁移、备份和恢复服务</w:t>
      </w:r>
      <w:r>
        <w:rPr>
          <w:rFonts w:hint="eastAsia" w:ascii="宋体" w:hAnsi="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如</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需要</w:t>
      </w:r>
      <w:r>
        <w:rPr>
          <w:rFonts w:hint="eastAsia" w:ascii="宋体" w:hAnsi="宋体" w:cs="宋体"/>
          <w:snapToGrid/>
          <w:color w:val="000000"/>
          <w:kern w:val="0"/>
          <w:sz w:val="24"/>
          <w:szCs w:val="24"/>
          <w:lang w:val="en-US" w:eastAsia="zh-CN" w:bidi="ar"/>
        </w:rPr>
        <w:t>，提供</w:t>
      </w:r>
      <w:r>
        <w:rPr>
          <w:rFonts w:hint="eastAsia" w:ascii="宋体" w:hAnsi="宋体" w:eastAsia="宋体" w:cs="宋体"/>
          <w:snapToGrid/>
          <w:color w:val="000000"/>
          <w:kern w:val="0"/>
          <w:sz w:val="24"/>
          <w:szCs w:val="24"/>
          <w:lang w:val="en-US" w:eastAsia="zh-CN" w:bidi="ar"/>
        </w:rPr>
        <w:t>数据迁移、备份和恢复服务。</w:t>
      </w:r>
    </w:p>
    <w:p w14:paraId="19D3EC5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5</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用户培训：每年至少提供</w:t>
      </w:r>
      <w:r>
        <w:rPr>
          <w:rFonts w:hint="eastAsia" w:ascii="宋体" w:hAnsi="宋体" w:cs="宋体"/>
          <w:snapToGrid/>
          <w:color w:val="000000"/>
          <w:kern w:val="0"/>
          <w:sz w:val="24"/>
          <w:szCs w:val="24"/>
          <w:lang w:val="en-US" w:eastAsia="zh-CN" w:bidi="ar"/>
        </w:rPr>
        <w:t>2</w:t>
      </w:r>
      <w:r>
        <w:rPr>
          <w:rFonts w:hint="eastAsia" w:ascii="宋体" w:hAnsi="宋体" w:eastAsia="宋体" w:cs="宋体"/>
          <w:snapToGrid/>
          <w:color w:val="000000"/>
          <w:kern w:val="0"/>
          <w:sz w:val="24"/>
          <w:szCs w:val="24"/>
          <w:lang w:val="en-US" w:eastAsia="zh-CN" w:bidi="ar"/>
        </w:rPr>
        <w:t>次用户培训，培训对象为院方的医生、技术工程师、业务科室的关键用户。同时向院方提供功能使用说明。</w:t>
      </w:r>
    </w:p>
    <w:p w14:paraId="33DF10A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6</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定时巡检：经院方许可，每季度至少进行一次定期现场巡检，除定期的巡检之外，根据实际情况提供重大的节假日（包括但不限于五一、十一、春节、元旦等）、会议等事件之前的健康检查工作，对院方应用软件的软硬件环境进行检查，发现影响系统稳定运行的隐患因素并及时排除。向院方出具系统巡检报告，内容包含巡检范围、结果及巡检建议。</w:t>
      </w:r>
    </w:p>
    <w:p w14:paraId="72348BF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7</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系统建设建议：系统在运行过程中，不定期地向院方提供软件建设建议方案。</w:t>
      </w:r>
    </w:p>
    <w:p w14:paraId="4109F80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b w:val="0"/>
          <w:kern w:val="0"/>
          <w:sz w:val="24"/>
          <w:szCs w:val="24"/>
        </w:rPr>
      </w:pPr>
      <w:r>
        <w:rPr>
          <w:rFonts w:hint="eastAsia" w:ascii="宋体" w:hAnsi="宋体" w:eastAsia="宋体" w:cs="宋体"/>
          <w:snapToGrid/>
          <w:color w:val="000000"/>
          <w:kern w:val="0"/>
          <w:sz w:val="24"/>
          <w:szCs w:val="24"/>
          <w:lang w:val="en-US" w:eastAsia="zh-CN" w:bidi="ar"/>
        </w:rPr>
        <w:t>8</w:t>
      </w:r>
      <w:r>
        <w:rPr>
          <w:rFonts w:hint="default" w:ascii="宋体" w:hAnsi="宋体" w:eastAsia="宋体" w:cs="宋体"/>
          <w:snapToGrid/>
          <w:color w:val="000000"/>
          <w:kern w:val="0"/>
          <w:sz w:val="24"/>
          <w:szCs w:val="24"/>
          <w:lang w:val="en-US" w:eastAsia="zh-CN" w:bidi="ar"/>
        </w:rPr>
        <w:t>.</w:t>
      </w:r>
      <w:r>
        <w:rPr>
          <w:rFonts w:hint="eastAsia" w:ascii="Times New Roman" w:hAnsi="Times New Roman" w:eastAsia="宋体" w:cs="Times New Roman"/>
          <w:b w:val="0"/>
          <w:sz w:val="24"/>
          <w:szCs w:val="24"/>
          <w:highlight w:val="none"/>
          <w:lang w:val="en-US" w:eastAsia="zh-CN"/>
        </w:rPr>
        <w:t>维护期内，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w:t>
      </w:r>
      <w:r>
        <w:rPr>
          <w:rFonts w:hint="eastAsia" w:ascii="Times New Roman" w:hAnsi="Times New Roman" w:eastAsia="宋体" w:cs="Times New Roman"/>
          <w:b w:val="0"/>
          <w:color w:val="000000"/>
          <w:sz w:val="24"/>
          <w:szCs w:val="24"/>
          <w:highlight w:val="none"/>
          <w:lang w:val="en-US" w:eastAsia="zh-CN"/>
        </w:rPr>
        <w:t>30分钟</w:t>
      </w:r>
      <w:r>
        <w:rPr>
          <w:rFonts w:hint="eastAsia" w:ascii="Times New Roman" w:hAnsi="Times New Roman" w:eastAsia="宋体" w:cs="Times New Roman"/>
          <w:b w:val="0"/>
          <w:color w:val="000000"/>
          <w:sz w:val="24"/>
          <w:szCs w:val="24"/>
          <w:highlight w:val="none"/>
        </w:rPr>
        <w:t>内响应，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一般故障应于2小时内解决，严重故障应于24小时内解决。如技术服务人员非现场不能排除故障，必须保证12小时内到达现场进行故障排除。</w:t>
      </w:r>
      <w:r>
        <w:rPr>
          <w:rFonts w:hint="eastAsia" w:ascii="宋体" w:hAnsi="宋体" w:eastAsia="宋体" w:cs="宋体"/>
          <w:b w:val="0"/>
          <w:snapToGrid/>
          <w:color w:val="000000"/>
          <w:kern w:val="0"/>
          <w:sz w:val="24"/>
          <w:szCs w:val="24"/>
          <w:lang w:val="en-US" w:eastAsia="zh-CN" w:bidi="ar"/>
        </w:rPr>
        <w:t>如院方因需求修改要求工程师现场维护的，应在</w:t>
      </w:r>
      <w:r>
        <w:rPr>
          <w:rFonts w:hint="default" w:ascii="Times New Roman" w:hAnsi="Times New Roman" w:eastAsia="宋体" w:cs="Times New Roman"/>
          <w:b w:val="0"/>
          <w:snapToGrid/>
          <w:color w:val="000000"/>
          <w:kern w:val="0"/>
          <w:sz w:val="24"/>
          <w:szCs w:val="24"/>
          <w:lang w:val="en-US" w:eastAsia="zh-CN" w:bidi="ar"/>
        </w:rPr>
        <w:t>24</w:t>
      </w:r>
      <w:r>
        <w:rPr>
          <w:rFonts w:hint="eastAsia" w:ascii="宋体" w:hAnsi="宋体" w:eastAsia="宋体" w:cs="宋体"/>
          <w:b w:val="0"/>
          <w:snapToGrid/>
          <w:color w:val="000000"/>
          <w:kern w:val="0"/>
          <w:sz w:val="24"/>
          <w:szCs w:val="24"/>
          <w:lang w:val="en-US" w:eastAsia="zh-CN" w:bidi="ar"/>
        </w:rPr>
        <w:t>小时内予以回应，给出具体解决方案和时间表，经院方批准后，遵照方案、时间表及本合同约定执行。</w:t>
      </w:r>
    </w:p>
    <w:p w14:paraId="6E3E711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9</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文档管理：提供和完善相关服务工作文档（软件更新的内容说明和常见问题的解决方法说明）。</w:t>
      </w:r>
    </w:p>
    <w:p w14:paraId="76069E5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10</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维护期内所发生的一切费用包括系统技术支持、系统维护或升级、人员交通、差旅服务等全部费用均由</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承担，</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不再另行付费。维护期过后，</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需提供终身有偿维保服务，该有偿维保服务由甲乙双方基于海南省相关政府部门出台的运维标准（不高于原则）另行商定和签定。</w:t>
      </w:r>
    </w:p>
    <w:p w14:paraId="3EE5CCE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kern w:val="0"/>
          <w:sz w:val="24"/>
          <w:szCs w:val="24"/>
        </w:rPr>
      </w:pPr>
      <w:r>
        <w:rPr>
          <w:rFonts w:hint="eastAsia" w:ascii="宋体" w:hAnsi="宋体" w:eastAsia="宋体" w:cs="宋体"/>
          <w:snapToGrid/>
          <w:color w:val="000000"/>
          <w:kern w:val="0"/>
          <w:sz w:val="24"/>
          <w:szCs w:val="24"/>
          <w:lang w:val="en-US" w:eastAsia="zh-CN" w:bidi="ar"/>
        </w:rPr>
        <w:t>（四）技术支持服务</w:t>
      </w:r>
    </w:p>
    <w:p w14:paraId="655EE20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1.</w:t>
      </w:r>
      <w:r>
        <w:rPr>
          <w:rFonts w:hint="eastAsia" w:ascii="宋体" w:hAnsi="宋体" w:eastAsia="宋体" w:cs="宋体"/>
          <w:snapToGrid/>
          <w:color w:val="000000"/>
          <w:kern w:val="0"/>
          <w:sz w:val="24"/>
          <w:szCs w:val="24"/>
          <w:lang w:val="en-US" w:eastAsia="zh-CN" w:bidi="ar"/>
        </w:rPr>
        <w:t>提供技术支持服务，形式上包括电话技术支持服务、现场支持服务、现场驻场支持服务。</w:t>
      </w:r>
    </w:p>
    <w:p w14:paraId="5EA67A4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2.</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提供及时有效的技术支持：对于</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在实际使用中所发生各类问题和疑问，</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随时帮助用户了解由</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提供的产品或服务所引发的运行异常情况的原因，并提供及时的技术支持和资料帮助。</w:t>
      </w:r>
    </w:p>
    <w:p w14:paraId="722BE31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3.</w:t>
      </w:r>
      <w:r>
        <w:rPr>
          <w:rFonts w:hint="eastAsia" w:ascii="宋体" w:hAnsi="宋体" w:eastAsia="宋体" w:cs="宋体"/>
          <w:snapToGrid/>
          <w:color w:val="000000"/>
          <w:kern w:val="0"/>
          <w:sz w:val="24"/>
          <w:szCs w:val="24"/>
          <w:lang w:val="en-US" w:eastAsia="zh-CN" w:bidi="ar"/>
        </w:rPr>
        <w:t>现场技术支持，</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根据使用方的实际技术服务支持需要，制定详细的服务支持计划并在实施前与用户沟通。</w:t>
      </w:r>
    </w:p>
    <w:p w14:paraId="0F11767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4.</w:t>
      </w:r>
      <w:r>
        <w:rPr>
          <w:rFonts w:hint="eastAsia" w:ascii="宋体" w:hAnsi="宋体" w:eastAsia="宋体" w:cs="宋体"/>
          <w:snapToGrid/>
          <w:color w:val="000000"/>
          <w:kern w:val="0"/>
          <w:sz w:val="24"/>
          <w:szCs w:val="24"/>
          <w:lang w:val="en-US" w:eastAsia="zh-CN" w:bidi="ar"/>
        </w:rPr>
        <w:t>通过线上、远程等方式提供技术支持，及时在群里解答相关人员的问题。</w:t>
      </w:r>
    </w:p>
    <w:p w14:paraId="248C680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5.</w:t>
      </w:r>
      <w:r>
        <w:rPr>
          <w:rFonts w:hint="eastAsia" w:ascii="宋体" w:hAnsi="宋体" w:eastAsia="宋体" w:cs="宋体"/>
          <w:snapToGrid/>
          <w:color w:val="000000"/>
          <w:kern w:val="0"/>
          <w:sz w:val="24"/>
          <w:szCs w:val="24"/>
          <w:lang w:val="en-US" w:eastAsia="zh-CN" w:bidi="ar"/>
        </w:rPr>
        <w:t>提供重大变更现场支持服务。在项目保修期内，当用户需要对设备或软件进行相应变更时，</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派遣工程师提供现场支持，协助用户做好重大变更的技术支持和规划工作，并做好重大变更后的技术支持保障工作。具体问题双方协商解决：如设备搬迁、系统改造与升级、设备扩容、与设备相关的其他重大变更。</w:t>
      </w:r>
    </w:p>
    <w:p w14:paraId="6C13824D">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 xml:space="preserve">四、采购项目商务要求 </w:t>
      </w:r>
    </w:p>
    <w:p w14:paraId="1F9E3B4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1. 服务地点：采购人（用户）所在地。  </w:t>
      </w:r>
    </w:p>
    <w:p w14:paraId="79CD070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 维护期限：自合同签订之日起五年。</w:t>
      </w:r>
    </w:p>
    <w:p w14:paraId="16F91B9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3 付款方式： </w:t>
      </w:r>
    </w:p>
    <w:p w14:paraId="467F0E0E">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合同生效后，中标人向采购人书面提交付款申请，并提供履约承诺函，凭中标人提供的正式有效的含税发票，采购人办理相关手续后，支付合同总额的100%。</w:t>
      </w:r>
    </w:p>
    <w:p w14:paraId="0A2395A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维护期内，若中标人未按照合同约定提供及时有效的服务，采购人有权追回所有向中标人支付的款项并追究中标人责任。</w:t>
      </w:r>
    </w:p>
    <w:p w14:paraId="3CBE9A2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Times New Roman"/>
          <w:szCs w:val="21"/>
          <w:lang w:val="en-US" w:eastAsia="zh-CN"/>
        </w:rPr>
      </w:pPr>
      <w:r>
        <w:rPr>
          <w:rFonts w:hint="eastAsia" w:ascii="宋体" w:hAnsi="宋体" w:eastAsia="宋体" w:cs="宋体"/>
          <w:snapToGrid/>
          <w:color w:val="000000"/>
          <w:kern w:val="0"/>
          <w:sz w:val="24"/>
          <w:szCs w:val="24"/>
          <w:lang w:val="en-US" w:eastAsia="zh-CN" w:bidi="ar"/>
        </w:rPr>
        <w:t>4.投标人必须满足第三项项目基本要求全部内容。</w:t>
      </w:r>
    </w:p>
    <w:sectPr>
      <w:footerReference r:id="rId3" w:type="default"/>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E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F4BD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9F4B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jBkYzQ0YmNjYTVmYzc4NDMzYjZjZGZiNjUyOTEifQ=="/>
  </w:docVars>
  <w:rsids>
    <w:rsidRoot w:val="01D14D61"/>
    <w:rsid w:val="00FE1DD1"/>
    <w:rsid w:val="01D14D61"/>
    <w:rsid w:val="15226355"/>
    <w:rsid w:val="21A25596"/>
    <w:rsid w:val="52F745BE"/>
    <w:rsid w:val="58612545"/>
    <w:rsid w:val="647413D2"/>
    <w:rsid w:val="7619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Indent 3"/>
    <w:basedOn w:val="1"/>
    <w:qFormat/>
    <w:uiPriority w:val="99"/>
    <w:pPr>
      <w:spacing w:after="120"/>
      <w:ind w:left="420" w:leftChars="200"/>
    </w:pPr>
    <w:rPr>
      <w:sz w:val="16"/>
    </w:rPr>
  </w:style>
  <w:style w:type="paragraph" w:styleId="6">
    <w:name w:val="Normal (Web)"/>
    <w:basedOn w:val="1"/>
    <w:qFormat/>
    <w:uiPriority w:val="0"/>
    <w:pPr>
      <w:kinsoku/>
      <w:autoSpaceDE/>
      <w:autoSpaceDN/>
      <w:adjustRightInd/>
      <w:snapToGrid/>
      <w:spacing w:before="0" w:beforeAutospacing="1" w:after="0" w:afterAutospacing="1"/>
      <w:ind w:left="0" w:right="0"/>
      <w:jc w:val="left"/>
      <w:textAlignment w:val="auto"/>
    </w:pPr>
    <w:rPr>
      <w:rFonts w:ascii="宋体" w:hAnsi="宋体" w:cs="宋体"/>
      <w:snapToGrid/>
      <w:color w:val="auto"/>
      <w:kern w:val="0"/>
      <w:sz w:val="24"/>
      <w:szCs w:val="24"/>
      <w:lang w:val="en-US" w:eastAsia="zh-CN" w:bidi="ar"/>
    </w:rPr>
  </w:style>
  <w:style w:type="paragraph" w:customStyle="1" w:styleId="9">
    <w:name w:val="楷体粗正文文字"/>
    <w:basedOn w:val="1"/>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3</Pages>
  <Words>1893</Words>
  <Characters>1931</Characters>
  <Lines>0</Lines>
  <Paragraphs>0</Paragraphs>
  <TotalTime>3</TotalTime>
  <ScaleCrop>false</ScaleCrop>
  <LinksUpToDate>false</LinksUpToDate>
  <CharactersWithSpaces>1938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2024-11-04T07:12:00Z</dcterms:created>
  <dc:creator></dc:creator>
  <cp:lastModifiedBy></cp:lastModifiedBy>
  <dcterms:modified xsi:type="dcterms:W3CDTF">2025-02-19T09:44:59Z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E193EA728527423F8A2BE5926EF6A1A8_13</vt:lpwstr>
  </property>
  <property fmtid="{D5CDD505-2E9C-101B-9397-08002B2CF9AE}" pid="4" name="KSOTemplateDocerSaveRecord">
    <vt:lpwstr>eyJoZGlkIjoiZWEzMjBkYzQ0YmNjYTVmYzc4NDMzYjZjZGZiNjUyOTEiLCJ1c2VySWQiOiI2NjI1OTUwNjcifQ==</vt:lpwstr>
  </property>
</Properties>
</file>