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8C09C">
      <w:pPr>
        <w:jc w:val="cente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海南医科大学第二附属医院</w:t>
      </w:r>
    </w:p>
    <w:p w14:paraId="0867390E">
      <w:pPr>
        <w:jc w:val="cente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生殖系统实名认证接口对接</w:t>
      </w:r>
    </w:p>
    <w:p w14:paraId="150A2943">
      <w:pPr>
        <w:jc w:val="center"/>
        <w:rPr>
          <w:rFonts w:hint="eastAsia" w:ascii="宋体" w:hAnsi="宋体" w:eastAsia="宋体" w:cs="宋体"/>
          <w:b/>
          <w:color w:val="000000"/>
          <w:sz w:val="44"/>
          <w:szCs w:val="44"/>
          <w:lang w:val="en-US" w:eastAsia="zh-CN"/>
        </w:rPr>
      </w:pPr>
      <w:r>
        <w:rPr>
          <w:rFonts w:hint="eastAsia" w:ascii="宋体" w:hAnsi="宋体" w:eastAsia="宋体" w:cs="宋体"/>
          <w:b/>
          <w:color w:val="000000"/>
          <w:sz w:val="44"/>
          <w:szCs w:val="44"/>
          <w:lang w:val="en-US" w:eastAsia="zh-CN"/>
        </w:rPr>
        <w:t>需求书</w:t>
      </w:r>
    </w:p>
    <w:p w14:paraId="7168F823">
      <w:pPr>
        <w:pStyle w:val="2"/>
        <w:numPr>
          <w:ilvl w:val="0"/>
          <w:numId w:val="0"/>
        </w:numPr>
        <w:spacing w:before="156" w:beforeLines="50" w:beforeAutospacing="0" w:after="156" w:afterLines="50" w:afterAutospacing="0" w:line="360" w:lineRule="auto"/>
        <w:ind w:leftChars="0"/>
        <w:rPr>
          <w:rFonts w:hint="eastAsia" w:ascii="宋体" w:hAnsi="宋体" w:eastAsia="宋体"/>
          <w:bCs/>
          <w:sz w:val="28"/>
          <w:szCs w:val="28"/>
          <w:lang w:val="en-US" w:eastAsia="zh-CN"/>
        </w:rPr>
      </w:pPr>
      <w:r>
        <w:rPr>
          <w:rFonts w:hint="eastAsia" w:ascii="宋体" w:hAnsi="宋体" w:eastAsia="宋体"/>
          <w:bCs/>
          <w:sz w:val="28"/>
          <w:szCs w:val="28"/>
          <w:lang w:val="en-US" w:eastAsia="zh-CN"/>
        </w:rPr>
        <w:t>1项目需求</w:t>
      </w:r>
    </w:p>
    <w:p w14:paraId="60482F85">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1.1项目概述</w:t>
      </w:r>
    </w:p>
    <w:p w14:paraId="4005E3C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根据《海南省卫生健康委员会关于加强辅助生殖技术服务机构和从业人员管理的通知》，为进一步强化医疗质量安全管理，防范和打击代孕、非法采供精(卵)、拐卖婴儿等违法行为，确保实名实人接受辅助生殖助孕治疗，保障生殖健康和后代安全，在全省辅助生殖机构（含人类精子库）开展人脸识别身份信息核验，使用范围覆盖辅助生殖技术助孕治疗活动的所有关键环节。故开展本项目。</w:t>
      </w:r>
    </w:p>
    <w:p w14:paraId="3BCFD27A">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1.2建设目标</w:t>
      </w:r>
    </w:p>
    <w:p w14:paraId="7D7FB9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应用人脸识别技术在助孕建档、取(融)卵或取精前、胚胎移植前、签署销毁胚胎配子合子协议时、捐精和自精冷冻保存者在登记建档、自精使用、销毁等重要流程节点中，刷脸比对核验身份信息，确保服务对象“人”“证”一致，保障服务对象信息真实准确。</w:t>
      </w:r>
    </w:p>
    <w:p w14:paraId="2399359E">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1.3建设内容</w:t>
      </w:r>
    </w:p>
    <w:p w14:paraId="3E1FFE91">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fill="FDFDFE"/>
          <w:lang w:val="zh-CN" w:eastAsia="zh-CN"/>
        </w:rPr>
        <w:t>本项目建设内容</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为海南医科大学第二附属医院生殖系统</w:t>
      </w: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实名认证接口对接</w:t>
      </w:r>
      <w:r>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t>项目，建设内容包括院内生殖系与出生实名核验系统的接口对接及相应院内系统改造、接口调试，技术支持等，建设内容清单如下：</w:t>
      </w:r>
    </w:p>
    <w:tbl>
      <w:tblPr>
        <w:tblStyle w:val="7"/>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825"/>
        <w:gridCol w:w="878"/>
        <w:gridCol w:w="4836"/>
      </w:tblGrid>
      <w:tr w14:paraId="5FD9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8" w:type="dxa"/>
          </w:tcPr>
          <w:p w14:paraId="60584519">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项目名称</w:t>
            </w:r>
          </w:p>
        </w:tc>
        <w:tc>
          <w:tcPr>
            <w:tcW w:w="825" w:type="dxa"/>
          </w:tcPr>
          <w:p w14:paraId="337AB2C1">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数量</w:t>
            </w:r>
          </w:p>
        </w:tc>
        <w:tc>
          <w:tcPr>
            <w:tcW w:w="878" w:type="dxa"/>
          </w:tcPr>
          <w:p w14:paraId="1E7CEB13">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单位</w:t>
            </w:r>
          </w:p>
        </w:tc>
        <w:tc>
          <w:tcPr>
            <w:tcW w:w="4836" w:type="dxa"/>
          </w:tcPr>
          <w:p w14:paraId="558766FF">
            <w:pPr>
              <w:keepNext w:val="0"/>
              <w:keepLines w:val="0"/>
              <w:pageBreakBefore w:val="0"/>
              <w:widowControl w:val="0"/>
              <w:tabs>
                <w:tab w:val="left" w:pos="748"/>
              </w:tabs>
              <w:kinsoku/>
              <w:wordWrap/>
              <w:overflowPunct/>
              <w:topLinePunct w:val="0"/>
              <w:autoSpaceDE/>
              <w:autoSpaceDN/>
              <w:bidi w:val="0"/>
              <w:adjustRightInd/>
              <w:snapToGrid/>
              <w:spacing w:line="360" w:lineRule="auto"/>
              <w:ind w:left="0" w:firstLine="0" w:firstLineChars="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备注</w:t>
            </w:r>
          </w:p>
        </w:tc>
      </w:tr>
      <w:tr w14:paraId="00EF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68" w:type="dxa"/>
            <w:vAlign w:val="center"/>
          </w:tcPr>
          <w:p w14:paraId="1E0EF2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海南医科大学第二附属医院生殖系统实名认证接口对接项目</w:t>
            </w:r>
          </w:p>
        </w:tc>
        <w:tc>
          <w:tcPr>
            <w:tcW w:w="825" w:type="dxa"/>
            <w:vAlign w:val="center"/>
          </w:tcPr>
          <w:p w14:paraId="69D3BC6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1</w:t>
            </w:r>
          </w:p>
        </w:tc>
        <w:tc>
          <w:tcPr>
            <w:tcW w:w="878" w:type="dxa"/>
            <w:vAlign w:val="center"/>
          </w:tcPr>
          <w:p w14:paraId="60C3B5F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项</w:t>
            </w:r>
          </w:p>
        </w:tc>
        <w:tc>
          <w:tcPr>
            <w:tcW w:w="4836" w:type="dxa"/>
          </w:tcPr>
          <w:p w14:paraId="4DB5F4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pPr>
            <w:r>
              <w:rPr>
                <w:rFonts w:hint="eastAsia" w:ascii="Times New Roman" w:hAnsi="Times New Roman" w:eastAsia="宋体" w:cs="Times New Roman"/>
                <w:b w:val="0"/>
                <w:bCs w:val="0"/>
                <w:i w:val="0"/>
                <w:iCs w:val="0"/>
                <w:caps w:val="0"/>
                <w:color w:val="auto"/>
                <w:spacing w:val="0"/>
                <w:kern w:val="0"/>
                <w:sz w:val="24"/>
                <w:szCs w:val="24"/>
                <w:highlight w:val="none"/>
                <w:shd w:val="clear" w:fill="FDFDFE"/>
                <w:lang w:val="en-US" w:eastAsia="zh-CN" w:bidi="ar-SA"/>
              </w:rPr>
              <w:t>须完成核验人员身份认证对接、被核验人员信息查询对接、被核验人员实人认证对接、核验结果信息对接、人工核验对接、核验数据查询对接、后台数据统计分析等《海南省卫生健康委员会关于加强辅助生殖技术服务机构和从业人员管理的通知》中涉及的所有接口对接及相应的院内生殖系统改造。</w:t>
            </w:r>
          </w:p>
        </w:tc>
      </w:tr>
    </w:tbl>
    <w:p w14:paraId="5BEEA3F4">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1.4技术要求</w:t>
      </w:r>
    </w:p>
    <w:p w14:paraId="12CC79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1</w:t>
      </w:r>
      <w:r>
        <w:rPr>
          <w:rFonts w:hint="eastAsia" w:ascii="Times New Roman" w:hAnsi="Times New Roman" w:eastAsia="宋体" w:cs="Times New Roman"/>
          <w:b w:val="0"/>
          <w:bCs w:val="0"/>
          <w:sz w:val="24"/>
          <w:szCs w:val="24"/>
        </w:rPr>
        <w:t>、投标人应充分理解本次项目的建设内容和目标需求，提出符合医院实际应用需求的具有针对性的整体解决方案，并能对项目过程中的重难点做出分析，提出相应的技术应对方案并阐述自身优势。</w:t>
      </w:r>
    </w:p>
    <w:p w14:paraId="6D2C5F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、本次项目投标人还应充分考虑</w:t>
      </w:r>
      <w:r>
        <w:rPr>
          <w:rFonts w:hint="eastAsia" w:ascii="Times New Roman" w:hAnsi="Times New Roman" w:eastAsia="宋体" w:cs="Times New Roman"/>
          <w:b w:val="0"/>
          <w:bCs w:val="0"/>
          <w:color w:val="auto"/>
          <w:sz w:val="24"/>
          <w:szCs w:val="24"/>
          <w:lang w:val="en-US" w:eastAsia="zh-CN"/>
        </w:rPr>
        <w:t>海南医科大学第</w:t>
      </w:r>
      <w:r>
        <w:rPr>
          <w:rFonts w:hint="eastAsia" w:ascii="Times New Roman" w:hAnsi="Times New Roman" w:eastAsia="宋体" w:cs="Times New Roman"/>
          <w:b w:val="0"/>
          <w:bCs w:val="0"/>
          <w:color w:val="auto"/>
          <w:sz w:val="24"/>
          <w:szCs w:val="24"/>
        </w:rPr>
        <w:t>二</w:t>
      </w:r>
      <w:r>
        <w:rPr>
          <w:rFonts w:hint="eastAsia" w:ascii="Times New Roman" w:hAnsi="Times New Roman" w:eastAsia="宋体" w:cs="Times New Roman"/>
          <w:b w:val="0"/>
          <w:bCs w:val="0"/>
          <w:color w:val="auto"/>
          <w:sz w:val="24"/>
          <w:szCs w:val="24"/>
          <w:lang w:val="en-US" w:eastAsia="zh-CN"/>
        </w:rPr>
        <w:t>附属医</w:t>
      </w:r>
      <w:r>
        <w:rPr>
          <w:rFonts w:hint="eastAsia" w:ascii="Times New Roman" w:hAnsi="Times New Roman" w:eastAsia="宋体" w:cs="Times New Roman"/>
          <w:b w:val="0"/>
          <w:bCs w:val="0"/>
          <w:color w:val="auto"/>
          <w:sz w:val="24"/>
          <w:szCs w:val="24"/>
        </w:rPr>
        <w:t>院现有系统的数据继承问题，确保现有系统数据可以继续使用。</w:t>
      </w:r>
    </w:p>
    <w:p w14:paraId="74463A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3</w:t>
      </w:r>
      <w:r>
        <w:rPr>
          <w:rFonts w:hint="eastAsia" w:ascii="Times New Roman" w:hAnsi="Times New Roman" w:eastAsia="宋体" w:cs="Times New Roman"/>
          <w:b w:val="0"/>
          <w:bCs w:val="0"/>
          <w:sz w:val="24"/>
          <w:szCs w:val="24"/>
        </w:rPr>
        <w:t>、本次项目涉及的系统产生或利用的数据涉及到大量患者隐私，投标人应做好相应的信息安全保障设计，应具备医疗卫生信息数据的安全应用软件开发能力和医疗卫生数据加密处理能力。</w:t>
      </w:r>
    </w:p>
    <w:p w14:paraId="6D1D30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4</w:t>
      </w:r>
      <w:r>
        <w:rPr>
          <w:rFonts w:hint="eastAsia" w:ascii="Times New Roman" w:hAnsi="Times New Roman" w:eastAsia="宋体" w:cs="Times New Roman"/>
          <w:b w:val="0"/>
          <w:bCs w:val="0"/>
          <w:sz w:val="24"/>
          <w:szCs w:val="24"/>
        </w:rPr>
        <w:t>、投标人应具备高性能医疗卫生软件的开发能力，投标产品应充分考虑到医院大业务量环境下的运行效率。</w:t>
      </w:r>
    </w:p>
    <w:p w14:paraId="0F7D8F4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5</w:t>
      </w:r>
      <w:r>
        <w:rPr>
          <w:rFonts w:hint="eastAsia" w:ascii="Times New Roman" w:hAnsi="Times New Roman" w:eastAsia="宋体" w:cs="Times New Roman"/>
          <w:b w:val="0"/>
          <w:bCs w:val="0"/>
          <w:sz w:val="24"/>
          <w:szCs w:val="24"/>
        </w:rPr>
        <w:t>、项目实施期间，如因政策变化或医院管理流程变更的原因，需要对系统进行相应的客户化修改，投标人须无条件满足。</w:t>
      </w:r>
    </w:p>
    <w:p w14:paraId="230449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6</w:t>
      </w:r>
      <w:r>
        <w:rPr>
          <w:rFonts w:hint="eastAsia" w:ascii="Times New Roman" w:hAnsi="Times New Roman" w:eastAsia="宋体" w:cs="Times New Roman"/>
          <w:b w:val="0"/>
          <w:bCs w:val="0"/>
          <w:sz w:val="24"/>
          <w:szCs w:val="24"/>
        </w:rPr>
        <w:t>、为确保项目交付后系统的稳定可靠运行，投标人中标交付后需要提供专业的售后服务，投标人应具备较好的医院软件运维信息化管理能力和服务体系。</w:t>
      </w:r>
    </w:p>
    <w:p w14:paraId="0156813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val="en-US" w:eastAsia="zh-CN"/>
        </w:rPr>
        <w:t>9</w:t>
      </w:r>
      <w:r>
        <w:rPr>
          <w:rFonts w:hint="eastAsia" w:ascii="Times New Roman" w:hAnsi="Times New Roman" w:eastAsia="宋体" w:cs="Times New Roman"/>
          <w:b w:val="0"/>
          <w:bCs w:val="0"/>
          <w:sz w:val="24"/>
          <w:szCs w:val="24"/>
        </w:rPr>
        <w:t>、投标人在项目实施及服务过程中，应遵循知识产权管理体系做好文档管理工作，在项目验收时进行相关文档的移交，文档资料必须符合软件工程的相关要求，并提供明确的交付清单。</w:t>
      </w:r>
    </w:p>
    <w:p w14:paraId="7D5ACFA2">
      <w:pPr>
        <w:pStyle w:val="3"/>
        <w:numPr>
          <w:ilvl w:val="1"/>
          <w:numId w:val="0"/>
        </w:numPr>
        <w:spacing w:before="156" w:after="156"/>
        <w:ind w:leftChars="0"/>
        <w:rPr>
          <w:rFonts w:hint="eastAsia" w:ascii="宋体" w:hAnsi="宋体" w:eastAsia="宋体"/>
          <w:sz w:val="28"/>
          <w:szCs w:val="28"/>
          <w:lang w:val="en-US" w:eastAsia="zh-CN"/>
        </w:rPr>
      </w:pPr>
      <w:r>
        <w:rPr>
          <w:rFonts w:hint="eastAsia" w:ascii="宋体" w:hAnsi="宋体" w:eastAsia="宋体"/>
          <w:sz w:val="28"/>
          <w:szCs w:val="28"/>
          <w:lang w:val="en-US" w:eastAsia="zh-CN"/>
        </w:rPr>
        <w:t>1.5服务及其他要求</w:t>
      </w:r>
    </w:p>
    <w:p w14:paraId="1FDC7842">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1.5.1项目实施</w:t>
      </w:r>
    </w:p>
    <w:p w14:paraId="67FE3FEF">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本项目工期</w:t>
      </w:r>
      <w:r>
        <w:rPr>
          <w:rFonts w:hint="eastAsia" w:ascii="Times New Roman" w:hAnsi="Times New Roman" w:eastAsia="宋体" w:cs="Times New Roman"/>
          <w:b w:val="0"/>
          <w:bCs w:val="0"/>
          <w:sz w:val="24"/>
          <w:szCs w:val="24"/>
          <w:lang w:val="en-US" w:eastAsia="zh-CN"/>
        </w:rPr>
        <w:t>为2</w:t>
      </w:r>
      <w:bookmarkStart w:id="1" w:name="_GoBack"/>
      <w:bookmarkEnd w:id="1"/>
      <w:r>
        <w:rPr>
          <w:rFonts w:hint="eastAsia" w:ascii="Times New Roman" w:hAnsi="Times New Roman" w:eastAsia="宋体" w:cs="Times New Roman"/>
          <w:b w:val="0"/>
          <w:bCs w:val="0"/>
          <w:sz w:val="24"/>
          <w:szCs w:val="24"/>
          <w:lang w:val="en-US" w:eastAsia="zh-CN"/>
        </w:rPr>
        <w:t>0</w:t>
      </w:r>
      <w:r>
        <w:rPr>
          <w:rFonts w:hint="eastAsia" w:ascii="Times New Roman" w:hAnsi="Times New Roman" w:eastAsia="宋体" w:cs="Times New Roman"/>
          <w:b w:val="0"/>
          <w:bCs w:val="0"/>
          <w:sz w:val="24"/>
          <w:szCs w:val="24"/>
        </w:rPr>
        <w:t>个日历天。投标人应切实做好项目进度管理规划，在确保项目质量和安全的原则下，控制项目进度，确保项目建设按期完成并投入正常运行。</w:t>
      </w:r>
    </w:p>
    <w:p w14:paraId="40C7C912">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项目实施期间，投标人应根据项目建设内容和进度需要，</w:t>
      </w:r>
      <w:r>
        <w:rPr>
          <w:rFonts w:hint="eastAsia" w:ascii="Times New Roman" w:hAnsi="Times New Roman" w:eastAsia="宋体" w:cs="Times New Roman"/>
          <w:b w:val="0"/>
          <w:bCs w:val="0"/>
          <w:sz w:val="24"/>
          <w:szCs w:val="24"/>
          <w:lang w:val="en-US" w:eastAsia="zh-CN"/>
        </w:rPr>
        <w:t>安排</w:t>
      </w:r>
      <w:r>
        <w:rPr>
          <w:rFonts w:hint="eastAsia" w:ascii="Times New Roman" w:hAnsi="Times New Roman" w:eastAsia="宋体" w:cs="Times New Roman"/>
          <w:b w:val="0"/>
          <w:bCs w:val="0"/>
          <w:sz w:val="24"/>
          <w:szCs w:val="24"/>
        </w:rPr>
        <w:t>具有一定资质能力水平的成员组成项目团队对</w:t>
      </w:r>
      <w:r>
        <w:rPr>
          <w:rFonts w:hint="eastAsia" w:ascii="Times New Roman" w:hAnsi="Times New Roman" w:eastAsia="宋体" w:cs="Times New Roman"/>
          <w:b w:val="0"/>
          <w:bCs w:val="0"/>
          <w:sz w:val="24"/>
          <w:szCs w:val="24"/>
          <w:lang w:val="en-US" w:eastAsia="zh-CN"/>
        </w:rPr>
        <w:t>项目</w:t>
      </w:r>
      <w:r>
        <w:rPr>
          <w:rFonts w:hint="eastAsia" w:ascii="Times New Roman" w:hAnsi="Times New Roman" w:eastAsia="宋体" w:cs="Times New Roman"/>
          <w:b w:val="0"/>
          <w:bCs w:val="0"/>
          <w:sz w:val="24"/>
          <w:szCs w:val="24"/>
        </w:rPr>
        <w:t>进行实施及服务。项目团队应配置合理且具有较为合理明确的分工。</w:t>
      </w:r>
    </w:p>
    <w:p w14:paraId="5567B579">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1.5.2项目培训</w:t>
      </w:r>
    </w:p>
    <w:p w14:paraId="15A40EA8">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面向系统管理员、系统操作人员等不同群体</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投标人</w:t>
      </w:r>
      <w:r>
        <w:rPr>
          <w:rFonts w:hint="eastAsia" w:ascii="Times New Roman" w:hAnsi="Times New Roman" w:eastAsia="宋体" w:cs="Times New Roman"/>
          <w:b w:val="0"/>
          <w:bCs w:val="0"/>
          <w:sz w:val="24"/>
          <w:szCs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val="en-US" w:eastAsia="zh-CN"/>
        </w:rPr>
        <w:t>培训方式包含：</w:t>
      </w:r>
      <w:r>
        <w:rPr>
          <w:rFonts w:hint="eastAsia" w:ascii="Times New Roman" w:hAnsi="Times New Roman" w:eastAsia="宋体" w:cs="Times New Roman"/>
          <w:b w:val="0"/>
          <w:bCs w:val="0"/>
          <w:sz w:val="24"/>
          <w:szCs w:val="24"/>
        </w:rPr>
        <w:t>一对一培训、小班培训和集中培训等不同培训方式</w:t>
      </w:r>
      <w:r>
        <w:rPr>
          <w:rFonts w:hint="eastAsia" w:ascii="Times New Roman" w:hAnsi="Times New Roman" w:eastAsia="宋体" w:cs="Times New Roman"/>
          <w:b w:val="0"/>
          <w:bCs w:val="0"/>
          <w:sz w:val="24"/>
          <w:szCs w:val="24"/>
          <w:lang w:eastAsia="zh-CN"/>
        </w:rPr>
        <w:t>。</w:t>
      </w:r>
    </w:p>
    <w:p w14:paraId="1344D49B">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3D43C617">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color w:val="auto"/>
          <w:spacing w:val="0"/>
          <w:sz w:val="24"/>
          <w:szCs w:val="24"/>
          <w:highlight w:val="none"/>
          <w:shd w:val="clear" w:fill="FDFDFE"/>
          <w:lang w:val="en-US" w:eastAsia="zh-CN"/>
        </w:rPr>
      </w:pPr>
      <w:r>
        <w:rPr>
          <w:rFonts w:hint="eastAsia" w:ascii="Times New Roman" w:hAnsi="Times New Roman" w:eastAsia="宋体" w:cs="Times New Roman"/>
          <w:b w:val="0"/>
          <w:bCs w:val="0"/>
          <w:sz w:val="24"/>
          <w:szCs w:val="24"/>
        </w:rPr>
        <w:t>培训费用应已经包含在</w:t>
      </w:r>
      <w:r>
        <w:rPr>
          <w:rFonts w:hint="eastAsia" w:ascii="Times New Roman" w:hAnsi="Times New Roman" w:eastAsia="宋体" w:cs="Times New Roman"/>
          <w:b w:val="0"/>
          <w:bCs w:val="0"/>
          <w:sz w:val="24"/>
          <w:szCs w:val="24"/>
          <w:lang w:val="en-US" w:eastAsia="zh-CN"/>
        </w:rPr>
        <w:t>投标金额</w:t>
      </w:r>
      <w:r>
        <w:rPr>
          <w:rFonts w:hint="eastAsia" w:ascii="Times New Roman" w:hAnsi="Times New Roman" w:eastAsia="宋体" w:cs="Times New Roman"/>
          <w:b w:val="0"/>
          <w:bCs w:val="0"/>
          <w:sz w:val="24"/>
          <w:szCs w:val="24"/>
        </w:rPr>
        <w:t>中，</w:t>
      </w:r>
      <w:r>
        <w:rPr>
          <w:rFonts w:hint="eastAsia" w:ascii="Times New Roman" w:hAnsi="Times New Roman" w:eastAsia="宋体" w:cs="Times New Roman"/>
          <w:b w:val="0"/>
          <w:bCs w:val="0"/>
          <w:sz w:val="24"/>
          <w:szCs w:val="24"/>
          <w:lang w:val="en-US" w:eastAsia="zh-CN"/>
        </w:rPr>
        <w:t>采购人</w:t>
      </w:r>
      <w:r>
        <w:rPr>
          <w:rFonts w:hint="eastAsia" w:ascii="Times New Roman" w:hAnsi="Times New Roman" w:eastAsia="宋体" w:cs="Times New Roman"/>
          <w:b w:val="0"/>
          <w:bCs w:val="0"/>
          <w:sz w:val="24"/>
          <w:szCs w:val="24"/>
        </w:rPr>
        <w:t>不再另行付费。</w:t>
      </w:r>
    </w:p>
    <w:p w14:paraId="1A08A0A7">
      <w:pPr>
        <w:pStyle w:val="3"/>
        <w:numPr>
          <w:ilvl w:val="1"/>
          <w:numId w:val="0"/>
        </w:numPr>
        <w:spacing w:before="156" w:after="156"/>
        <w:ind w:leftChars="0"/>
        <w:rPr>
          <w:rFonts w:hint="eastAsia" w:ascii="宋体" w:hAnsi="宋体" w:eastAsia="宋体"/>
          <w:sz w:val="28"/>
          <w:szCs w:val="28"/>
          <w:lang w:val="en-US" w:eastAsia="zh-CN"/>
        </w:rPr>
      </w:pPr>
      <w:bookmarkStart w:id="0" w:name="OLE_LINK2"/>
      <w:r>
        <w:rPr>
          <w:rFonts w:hint="eastAsia" w:ascii="宋体" w:hAnsi="宋体" w:eastAsia="宋体"/>
          <w:sz w:val="28"/>
          <w:szCs w:val="28"/>
          <w:lang w:val="en-US" w:eastAsia="zh-CN"/>
        </w:rPr>
        <w:t>1.6项目验收及付款</w:t>
      </w:r>
    </w:p>
    <w:p w14:paraId="3C514756">
      <w:pPr>
        <w:rPr>
          <w:rFonts w:hint="default"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1.6.1项目验收</w:t>
      </w:r>
    </w:p>
    <w:p w14:paraId="2D2E62BE">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000000"/>
          <w:sz w:val="24"/>
          <w:szCs w:val="24"/>
          <w:highlight w:val="none"/>
          <w:lang w:val="en-US" w:eastAsia="zh-CN"/>
        </w:rPr>
        <w:t>本项目采用整体验收的方式。</w:t>
      </w:r>
    </w:p>
    <w:p w14:paraId="228B2545">
      <w:pPr>
        <w:pStyle w:val="4"/>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right="0" w:firstLine="480" w:firstLineChars="200"/>
        <w:textAlignment w:val="auto"/>
        <w:rPr>
          <w:rFonts w:hint="eastAsia" w:ascii="Times New Roman" w:hAnsi="Times New Roman" w:eastAsia="宋体" w:cs="Times New Roman"/>
          <w:b w:val="0"/>
          <w:bCs w:val="0"/>
          <w:color w:val="000000"/>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功能交付达到合同约定后，中标人向采购人书面提</w:t>
      </w:r>
      <w:r>
        <w:rPr>
          <w:rFonts w:hint="eastAsia" w:ascii="Times New Roman" w:hAnsi="Times New Roman" w:eastAsia="宋体" w:cs="Times New Roman"/>
          <w:b w:val="0"/>
          <w:bCs w:val="0"/>
          <w:color w:val="auto"/>
          <w:sz w:val="24"/>
          <w:szCs w:val="24"/>
          <w:highlight w:val="none"/>
          <w:lang w:eastAsia="zh-CN"/>
        </w:rPr>
        <w:t>交</w:t>
      </w:r>
      <w:r>
        <w:rPr>
          <w:rFonts w:hint="eastAsia" w:ascii="Times New Roman" w:hAnsi="Times New Roman" w:eastAsia="宋体" w:cs="Times New Roman"/>
          <w:b w:val="0"/>
          <w:bCs w:val="0"/>
          <w:color w:val="auto"/>
          <w:sz w:val="24"/>
          <w:szCs w:val="24"/>
          <w:highlight w:val="none"/>
          <w:lang w:val="en-US" w:eastAsia="zh-CN"/>
        </w:rPr>
        <w:t>验收申请，采购人相关部门对项目进行验收。</w:t>
      </w:r>
    </w:p>
    <w:p w14:paraId="1A52D9A2">
      <w:pPr>
        <w:rPr>
          <w:rFonts w:hint="eastAsia" w:ascii="宋体" w:hAnsi="宋体" w:eastAsia="宋体" w:cs="Times New Roman (正文 CS 字体)"/>
          <w:b/>
          <w:bCs/>
          <w:kern w:val="2"/>
          <w:sz w:val="28"/>
          <w:szCs w:val="28"/>
          <w:lang w:val="en-US" w:eastAsia="zh-CN" w:bidi="ar-SA"/>
        </w:rPr>
      </w:pPr>
      <w:r>
        <w:rPr>
          <w:rFonts w:hint="eastAsia" w:ascii="宋体" w:hAnsi="宋体" w:eastAsia="宋体" w:cs="Times New Roman (正文 CS 字体)"/>
          <w:b/>
          <w:bCs/>
          <w:kern w:val="2"/>
          <w:sz w:val="28"/>
          <w:szCs w:val="28"/>
          <w:lang w:val="en-US" w:eastAsia="zh-CN" w:bidi="ar-SA"/>
        </w:rPr>
        <w:t>1.6.2付款方式</w:t>
      </w:r>
    </w:p>
    <w:p w14:paraId="198419EF">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本项目所有款项均以人民币支付，项目合同总价以中标价为准。付款方式如下：</w:t>
      </w:r>
    </w:p>
    <w:p w14:paraId="544FAE65">
      <w:pPr>
        <w:keepNext w:val="0"/>
        <w:keepLines w:val="0"/>
        <w:pageBreakBefore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功能交付达到合同约定，中标人向采购人书面提交验收申请。经采购人相关部门验收合格后，凭中标人提供的正式有效的含税发票，采购人办理相关手续后，支付合同总额的</w:t>
      </w:r>
      <w:r>
        <w:rPr>
          <w:rFonts w:hint="eastAsia" w:ascii="Times New Roman" w:hAnsi="Times New Roman" w:eastAsia="宋体" w:cs="Times New Roman"/>
          <w:b w:val="0"/>
          <w:bCs w:val="0"/>
          <w:sz w:val="24"/>
          <w:szCs w:val="24"/>
          <w:u w:val="single"/>
          <w:lang w:val="en-US" w:eastAsia="zh-CN"/>
        </w:rPr>
        <w:t>100 %</w:t>
      </w:r>
      <w:r>
        <w:rPr>
          <w:rFonts w:hint="eastAsia" w:ascii="Times New Roman" w:hAnsi="Times New Roman" w:eastAsia="宋体" w:cs="Times New Roman"/>
          <w:b w:val="0"/>
          <w:bCs w:val="0"/>
          <w:sz w:val="24"/>
          <w:szCs w:val="24"/>
          <w:u w:val="none"/>
          <w:lang w:val="en-US" w:eastAsia="zh-CN"/>
        </w:rPr>
        <w:t>。</w:t>
      </w:r>
    </w:p>
    <w:p w14:paraId="5748EF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如中标人未能完成合同约定建设内容，采购人有权追回所有向中标人支付的款项并追究中标人违约责任。</w:t>
      </w:r>
    </w:p>
    <w:p w14:paraId="5D06D5FC">
      <w:pPr>
        <w:keepNext w:val="0"/>
        <w:keepLines w:val="0"/>
        <w:pageBreakBefore w:val="0"/>
        <w:kinsoku/>
        <w:wordWrap/>
        <w:overflowPunct/>
        <w:topLinePunct w:val="0"/>
        <w:autoSpaceDE/>
        <w:autoSpaceDN/>
        <w:bidi w:val="0"/>
        <w:spacing w:line="360" w:lineRule="auto"/>
        <w:ind w:left="0" w:right="0" w:firstLine="480" w:firstLineChars="200"/>
        <w:textAlignment w:val="auto"/>
        <w:rPr>
          <w:rFonts w:hint="eastAsia" w:ascii="Times New Roman" w:hAnsi="Times New Roman" w:eastAsia="宋体" w:cs="Times New Roman"/>
          <w:b w:val="0"/>
          <w:bCs w:val="0"/>
          <w:sz w:val="24"/>
          <w:szCs w:val="24"/>
        </w:rPr>
      </w:pPr>
    </w:p>
    <w:bookmarkEnd w:id="0"/>
    <w:p w14:paraId="07FE534C">
      <w:pPr>
        <w:jc w:val="both"/>
        <w:rPr>
          <w:rFonts w:hint="eastAsia" w:ascii="Times New Roman" w:hAnsi="Times New Roman" w:eastAsia="宋体" w:cs="Times New Roman"/>
          <w:b w:val="0"/>
          <w:bCs w:val="0"/>
          <w:i w:val="0"/>
          <w:iCs w:val="0"/>
          <w:caps w:val="0"/>
          <w:color w:val="auto"/>
          <w:spacing w:val="0"/>
          <w:sz w:val="24"/>
          <w:szCs w:val="24"/>
          <w:highlight w:val="none"/>
          <w:shd w:val="clear" w:fill="FDFDF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lvlText w:val="%1.%2.%3"/>
      <w:lvlJc w:val="left"/>
      <w:pPr>
        <w:ind w:left="0" w:firstLine="0"/>
      </w:pPr>
      <w:rPr>
        <w:rFonts w:hint="eastAsia"/>
        <w:color w:val="000000" w:themeColor="text1"/>
        <w14:textFill>
          <w14:solidFill>
            <w14:schemeClr w14:val="tx1"/>
          </w14:solidFill>
        </w14:textFill>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E104B"/>
    <w:rsid w:val="04E01689"/>
    <w:rsid w:val="05A52CD4"/>
    <w:rsid w:val="06A66D03"/>
    <w:rsid w:val="187A66B9"/>
    <w:rsid w:val="1C844F99"/>
    <w:rsid w:val="207E43F5"/>
    <w:rsid w:val="22BD32EE"/>
    <w:rsid w:val="26CE104B"/>
    <w:rsid w:val="2AB54EB7"/>
    <w:rsid w:val="3E50387F"/>
    <w:rsid w:val="488B6A68"/>
    <w:rsid w:val="494C0DDB"/>
    <w:rsid w:val="61DA69D6"/>
    <w:rsid w:val="64A1557F"/>
    <w:rsid w:val="65AC068A"/>
    <w:rsid w:val="6E331948"/>
    <w:rsid w:val="74957E8C"/>
    <w:rsid w:val="7B29035B"/>
    <w:rsid w:val="7B2C7508"/>
    <w:rsid w:val="7D31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1635</Words>
  <Characters>1667</Characters>
  <Lines>0</Lines>
  <Paragraphs>0</Paragraphs>
  <TotalTime>893</TotalTime>
  <ScaleCrop>false</ScaleCrop>
  <LinksUpToDate>false</LinksUpToDate>
  <CharactersWithSpaces>1668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2025-03-04T06:54:00Z</dcterms:created>
  <dc:creator></dc:creator>
  <cp:lastModifiedBy></cp:lastModifiedBy>
  <dcterms:modified xsi:type="dcterms:W3CDTF">2025-03-13T02:49:33Z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C96792AF22184C13BFBF0800800CF061_11</vt:lpwstr>
  </property>
  <property fmtid="{D5CDD505-2E9C-101B-9397-08002B2CF9AE}" pid="4" name="KSOTemplateDocerSaveRecord">
    <vt:lpwstr>eyJoZGlkIjoiZWEzMjBkYzQ0YmNjYTVmYzc4NDMzYjZjZGZiNjUyOTEiLCJ1c2VySWQiOiI2NjI1OTUwNjcifQ==</vt:lpwstr>
  </property>
</Properties>
</file>